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7" w:rsidRPr="00C15C32" w:rsidRDefault="00006897" w:rsidP="00006897">
      <w:pPr>
        <w:spacing w:after="0"/>
        <w:jc w:val="right"/>
        <w:rPr>
          <w:b/>
          <w:color w:val="000000" w:themeColor="text1"/>
          <w:sz w:val="20"/>
          <w:szCs w:val="20"/>
        </w:rPr>
      </w:pPr>
      <w:r w:rsidRPr="00C15C32">
        <w:rPr>
          <w:b/>
          <w:color w:val="000000" w:themeColor="text1"/>
          <w:sz w:val="20"/>
          <w:szCs w:val="20"/>
        </w:rPr>
        <w:t xml:space="preserve">Accuracy </w:t>
      </w:r>
      <w:r w:rsidR="006D0261" w:rsidRPr="00C15C32">
        <w:rPr>
          <w:b/>
          <w:color w:val="000000" w:themeColor="text1"/>
          <w:sz w:val="20"/>
          <w:szCs w:val="20"/>
        </w:rPr>
        <w:t xml:space="preserve">Tool </w:t>
      </w:r>
      <w:r w:rsidR="003636BB" w:rsidRPr="00C15C32">
        <w:rPr>
          <w:b/>
          <w:color w:val="000000" w:themeColor="text1"/>
          <w:sz w:val="20"/>
          <w:szCs w:val="20"/>
        </w:rPr>
        <w:t>–</w:t>
      </w:r>
      <w:r w:rsidRPr="00C15C32">
        <w:rPr>
          <w:b/>
          <w:color w:val="000000" w:themeColor="text1"/>
          <w:sz w:val="20"/>
          <w:szCs w:val="20"/>
        </w:rPr>
        <w:t xml:space="preserve"> 1</w:t>
      </w:r>
      <w:r w:rsidR="003636BB" w:rsidRPr="00C15C32">
        <w:rPr>
          <w:b/>
          <w:color w:val="000000" w:themeColor="text1"/>
          <w:sz w:val="20"/>
          <w:szCs w:val="20"/>
        </w:rPr>
        <w:t>a</w:t>
      </w:r>
    </w:p>
    <w:p w:rsidR="00E01F91" w:rsidRPr="00EB41C4" w:rsidRDefault="00F42590" w:rsidP="004A1526">
      <w:pPr>
        <w:spacing w:after="0"/>
        <w:jc w:val="center"/>
        <w:rPr>
          <w:b/>
          <w:sz w:val="28"/>
          <w:szCs w:val="28"/>
        </w:rPr>
      </w:pPr>
      <w:r w:rsidRPr="00EB41C4">
        <w:rPr>
          <w:b/>
          <w:sz w:val="28"/>
          <w:szCs w:val="28"/>
        </w:rPr>
        <w:t xml:space="preserve">Data </w:t>
      </w:r>
      <w:r w:rsidR="00E7426C" w:rsidRPr="00EB41C4">
        <w:rPr>
          <w:b/>
          <w:sz w:val="28"/>
          <w:szCs w:val="28"/>
        </w:rPr>
        <w:t>Accuracy</w:t>
      </w:r>
      <w:r w:rsidR="004A1526" w:rsidRPr="00EB41C4">
        <w:rPr>
          <w:b/>
          <w:sz w:val="28"/>
          <w:szCs w:val="28"/>
        </w:rPr>
        <w:t xml:space="preserve"> Checklist for Report of Verified Case of Tuberculosis</w:t>
      </w:r>
      <w:r w:rsidR="000B4F67">
        <w:rPr>
          <w:b/>
          <w:sz w:val="28"/>
          <w:szCs w:val="28"/>
        </w:rPr>
        <w:br/>
        <w:t xml:space="preserve">(Inconsistent and Outlying </w:t>
      </w:r>
      <w:r w:rsidR="00601DED">
        <w:rPr>
          <w:b/>
          <w:sz w:val="28"/>
          <w:szCs w:val="28"/>
        </w:rPr>
        <w:t xml:space="preserve">Data Field </w:t>
      </w:r>
      <w:r w:rsidR="000B4F67">
        <w:rPr>
          <w:b/>
          <w:sz w:val="28"/>
          <w:szCs w:val="28"/>
        </w:rPr>
        <w:t>Values)</w:t>
      </w:r>
    </w:p>
    <w:p w:rsidR="004A1526" w:rsidRPr="00DA6959" w:rsidRDefault="00C15C32" w:rsidP="004A1526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4</w:t>
      </w:r>
      <w:r w:rsidR="00E01F91" w:rsidRPr="00EB41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17</w:t>
      </w:r>
      <w:r w:rsidR="00E01F91" w:rsidRPr="00EB41C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2</w:t>
      </w:r>
      <w:r w:rsidR="004A1526" w:rsidRPr="00EB41C4">
        <w:rPr>
          <w:b/>
          <w:sz w:val="28"/>
          <w:szCs w:val="28"/>
        </w:rPr>
        <w:br/>
      </w:r>
      <w:bookmarkStart w:id="0" w:name="_GoBack"/>
      <w:bookmarkEnd w:id="0"/>
    </w:p>
    <w:p w:rsidR="00D557A9" w:rsidRDefault="003F59D8" w:rsidP="00D557A9">
      <w:pPr>
        <w:spacing w:after="0"/>
        <w:rPr>
          <w:b/>
        </w:rPr>
      </w:pPr>
      <w:r w:rsidRPr="009160F7">
        <w:rPr>
          <w:b/>
        </w:rPr>
        <w:t>This document provides a checklist to determine the accuracy for items from the Report of Verified Case of Tuberculosis</w:t>
      </w:r>
      <w:r w:rsidR="00EB41C4" w:rsidRPr="009160F7">
        <w:rPr>
          <w:b/>
        </w:rPr>
        <w:t xml:space="preserve"> (RVCT)</w:t>
      </w:r>
      <w:r w:rsidRPr="009160F7">
        <w:rPr>
          <w:b/>
        </w:rPr>
        <w:t xml:space="preserve">. </w:t>
      </w:r>
    </w:p>
    <w:p w:rsidR="00D557A9" w:rsidRDefault="00D557A9" w:rsidP="00D557A9">
      <w:pPr>
        <w:spacing w:after="0"/>
        <w:rPr>
          <w:b/>
        </w:rPr>
      </w:pPr>
    </w:p>
    <w:p w:rsidR="00D557A9" w:rsidRDefault="006C3A04" w:rsidP="00D557A9">
      <w:pPr>
        <w:spacing w:after="0"/>
        <w:rPr>
          <w:b/>
        </w:rPr>
      </w:pPr>
      <w:r w:rsidRPr="006C3A04">
        <w:rPr>
          <w:b/>
        </w:rPr>
        <w:t xml:space="preserve">Check the following for </w:t>
      </w:r>
      <w:r w:rsidR="00B96AC2" w:rsidRPr="006C3A04">
        <w:rPr>
          <w:b/>
        </w:rPr>
        <w:t>accuracy:</w:t>
      </w:r>
    </w:p>
    <w:p w:rsidR="003F59D8" w:rsidRDefault="009160F7" w:rsidP="003F59D8">
      <w:pPr>
        <w:pStyle w:val="ListParagraph"/>
        <w:numPr>
          <w:ilvl w:val="0"/>
          <w:numId w:val="1"/>
        </w:numPr>
        <w:spacing w:after="0"/>
        <w:jc w:val="both"/>
      </w:pPr>
      <w:r>
        <w:t>C</w:t>
      </w:r>
      <w:r w:rsidR="00E7426C">
        <w:t>alculated variables</w:t>
      </w:r>
    </w:p>
    <w:p w:rsidR="003F59D8" w:rsidRDefault="00293159" w:rsidP="003F59D8">
      <w:pPr>
        <w:pStyle w:val="ListParagraph"/>
        <w:numPr>
          <w:ilvl w:val="0"/>
          <w:numId w:val="1"/>
        </w:numPr>
        <w:spacing w:after="0"/>
        <w:jc w:val="both"/>
      </w:pPr>
      <w:r>
        <w:t>T</w:t>
      </w:r>
      <w:r w:rsidR="00E7426C">
        <w:t>ext field</w:t>
      </w:r>
      <w:r w:rsidR="009160F7">
        <w:t>s</w:t>
      </w:r>
      <w:r w:rsidR="00E7426C">
        <w:t xml:space="preserve"> </w:t>
      </w:r>
    </w:p>
    <w:p w:rsidR="003F59D8" w:rsidRDefault="00293159" w:rsidP="003F59D8">
      <w:pPr>
        <w:pStyle w:val="ListParagraph"/>
        <w:numPr>
          <w:ilvl w:val="0"/>
          <w:numId w:val="1"/>
        </w:numPr>
        <w:spacing w:after="0"/>
        <w:jc w:val="both"/>
      </w:pPr>
      <w:r>
        <w:t>D</w:t>
      </w:r>
      <w:r w:rsidR="00E7426C">
        <w:t>ata response patterns</w:t>
      </w:r>
    </w:p>
    <w:p w:rsidR="003F59D8" w:rsidRDefault="009160F7" w:rsidP="003F59D8">
      <w:pPr>
        <w:pStyle w:val="ListParagraph"/>
        <w:numPr>
          <w:ilvl w:val="0"/>
          <w:numId w:val="1"/>
        </w:numPr>
        <w:spacing w:after="0"/>
        <w:jc w:val="both"/>
      </w:pPr>
      <w:r>
        <w:t>D</w:t>
      </w:r>
      <w:r w:rsidR="00E7426C">
        <w:t xml:space="preserve">ate fields </w:t>
      </w:r>
      <w:r w:rsidR="00AF08F2">
        <w:t>(</w:t>
      </w:r>
      <w:r w:rsidR="00E7426C">
        <w:t>no future dates and no dates too far in the past</w:t>
      </w:r>
      <w:r w:rsidR="00204993">
        <w:t xml:space="preserve">; </w:t>
      </w:r>
      <w:r w:rsidR="00AF08F2">
        <w:t xml:space="preserve"> d</w:t>
      </w:r>
      <w:r w:rsidR="00204993">
        <w:t>ates for certain events in wrong order resulting in negative time duration</w:t>
      </w:r>
      <w:r w:rsidR="00AF08F2">
        <w:t>)</w:t>
      </w:r>
      <w:r w:rsidR="004660E7">
        <w:t xml:space="preserve"> </w:t>
      </w:r>
    </w:p>
    <w:p w:rsidR="006A2A60" w:rsidRDefault="006A2A60" w:rsidP="006A2A60">
      <w:pPr>
        <w:spacing w:after="0"/>
      </w:pPr>
    </w:p>
    <w:p w:rsidR="00B224C8" w:rsidRDefault="008D269D" w:rsidP="00EB41C4">
      <w:pPr>
        <w:spacing w:after="0"/>
        <w:jc w:val="center"/>
        <w:rPr>
          <w:b/>
          <w:sz w:val="28"/>
          <w:szCs w:val="28"/>
        </w:rPr>
      </w:pPr>
      <w:r w:rsidRPr="00EB41C4">
        <w:rPr>
          <w:b/>
          <w:sz w:val="28"/>
          <w:szCs w:val="28"/>
        </w:rPr>
        <w:t>Example</w:t>
      </w:r>
      <w:r w:rsidR="003F59D8" w:rsidRPr="00EB41C4">
        <w:rPr>
          <w:b/>
          <w:sz w:val="28"/>
          <w:szCs w:val="28"/>
        </w:rPr>
        <w:t xml:space="preserve">s </w:t>
      </w:r>
      <w:r w:rsidR="00B96AC2">
        <w:rPr>
          <w:b/>
          <w:sz w:val="28"/>
          <w:szCs w:val="28"/>
        </w:rPr>
        <w:t xml:space="preserve">for Checking </w:t>
      </w:r>
      <w:r w:rsidR="00EB41C4">
        <w:rPr>
          <w:b/>
          <w:sz w:val="28"/>
          <w:szCs w:val="28"/>
        </w:rPr>
        <w:t>A</w:t>
      </w:r>
      <w:r w:rsidR="003F59D8" w:rsidRPr="00EB41C4">
        <w:rPr>
          <w:b/>
          <w:sz w:val="28"/>
          <w:szCs w:val="28"/>
        </w:rPr>
        <w:t>ccuracy</w:t>
      </w:r>
    </w:p>
    <w:p w:rsidR="0076758D" w:rsidRPr="000A7AF8" w:rsidRDefault="000A7AF8" w:rsidP="000A7AF8">
      <w:pPr>
        <w:spacing w:after="0"/>
        <w:jc w:val="center"/>
        <w:rPr>
          <w:sz w:val="24"/>
          <w:szCs w:val="24"/>
        </w:rPr>
      </w:pPr>
      <w:r w:rsidRPr="000A7AF8">
        <w:rPr>
          <w:sz w:val="24"/>
          <w:szCs w:val="24"/>
        </w:rPr>
        <w:t>This includes common errors to check for accuracy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6318"/>
      </w:tblGrid>
      <w:tr w:rsidR="009C76FD" w:rsidTr="009C76FD">
        <w:trPr>
          <w:cantSplit/>
          <w:tblHeader/>
        </w:trPr>
        <w:tc>
          <w:tcPr>
            <w:tcW w:w="32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C76FD" w:rsidRDefault="009C76FD" w:rsidP="00C00679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9C76FD" w:rsidRDefault="009C76FD" w:rsidP="00FB187A">
            <w:pPr>
              <w:jc w:val="center"/>
              <w:rPr>
                <w:b/>
              </w:rPr>
            </w:pPr>
            <w:r>
              <w:rPr>
                <w:b/>
              </w:rPr>
              <w:t>Check for Accuracy</w:t>
            </w:r>
          </w:p>
        </w:tc>
      </w:tr>
      <w:tr w:rsidR="009C76FD" w:rsidTr="009C76FD">
        <w:trPr>
          <w:cantSplit/>
          <w:tblHeader/>
        </w:trPr>
        <w:tc>
          <w:tcPr>
            <w:tcW w:w="648" w:type="dxa"/>
            <w:shd w:val="clear" w:color="auto" w:fill="CCC0D9" w:themeFill="accent4" w:themeFillTint="66"/>
          </w:tcPr>
          <w:p w:rsidR="009C76FD" w:rsidRDefault="009C76FD" w:rsidP="00C0067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:rsidR="009C76FD" w:rsidRDefault="009C76FD" w:rsidP="00C006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318" w:type="dxa"/>
            <w:vMerge/>
            <w:shd w:val="clear" w:color="auto" w:fill="CCC0D9" w:themeFill="accent4" w:themeFillTint="66"/>
          </w:tcPr>
          <w:p w:rsidR="009C76FD" w:rsidRDefault="009C76FD" w:rsidP="00293159"/>
        </w:tc>
      </w:tr>
      <w:tr w:rsidR="009C76FD" w:rsidTr="009C76FD">
        <w:trPr>
          <w:cantSplit/>
        </w:trPr>
        <w:tc>
          <w:tcPr>
            <w:tcW w:w="648" w:type="dxa"/>
            <w:tcBorders>
              <w:bottom w:val="single" w:sz="18" w:space="0" w:color="auto"/>
            </w:tcBorders>
          </w:tcPr>
          <w:p w:rsidR="009C76FD" w:rsidRPr="003531AB" w:rsidRDefault="009C76FD" w:rsidP="00AA14D5">
            <w:pPr>
              <w:rPr>
                <w:b/>
              </w:rPr>
            </w:pPr>
            <w:r w:rsidRPr="003531AB">
              <w:rPr>
                <w:b/>
              </w:rPr>
              <w:t>1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9C76FD" w:rsidRPr="003531AB" w:rsidRDefault="009C76FD" w:rsidP="00AA14D5">
            <w:pPr>
              <w:rPr>
                <w:b/>
              </w:rPr>
            </w:pPr>
            <w:r w:rsidRPr="003531AB">
              <w:rPr>
                <w:b/>
              </w:rPr>
              <w:t>Report Date</w:t>
            </w:r>
          </w:p>
        </w:tc>
        <w:tc>
          <w:tcPr>
            <w:tcW w:w="6318" w:type="dxa"/>
            <w:tcBorders>
              <w:bottom w:val="single" w:sz="18" w:space="0" w:color="auto"/>
            </w:tcBorders>
          </w:tcPr>
          <w:p w:rsidR="009C76FD" w:rsidRDefault="009C76FD" w:rsidP="00AA14D5">
            <w:pPr>
              <w:rPr>
                <w:b/>
              </w:rPr>
            </w:pPr>
            <w:r>
              <w:t xml:space="preserve">Report </w:t>
            </w:r>
            <w:r w:rsidRPr="00A91CEC">
              <w:t xml:space="preserve">date should be </w:t>
            </w:r>
            <w:r w:rsidRPr="00D66508">
              <w:t>later than or equal to January 1</w:t>
            </w:r>
            <w:r w:rsidRPr="00D66508">
              <w:rPr>
                <w:vertAlign w:val="superscript"/>
              </w:rPr>
              <w:t>st</w:t>
            </w:r>
            <w:r w:rsidRPr="00D66508">
              <w:t>, 1990</w:t>
            </w:r>
          </w:p>
        </w:tc>
      </w:tr>
      <w:tr w:rsidR="009C76FD" w:rsidTr="009C76FD">
        <w:trPr>
          <w:cantSplit/>
          <w:trHeight w:val="1119"/>
        </w:trPr>
        <w:tc>
          <w:tcPr>
            <w:tcW w:w="648" w:type="dxa"/>
            <w:vMerge w:val="restart"/>
            <w:tcBorders>
              <w:top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3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Case Numbers</w:t>
            </w:r>
          </w:p>
        </w:tc>
        <w:tc>
          <w:tcPr>
            <w:tcW w:w="6318" w:type="dxa"/>
            <w:tcBorders>
              <w:top w:val="single" w:sz="18" w:space="0" w:color="auto"/>
            </w:tcBorders>
          </w:tcPr>
          <w:p w:rsidR="009C76FD" w:rsidRPr="000E3FA7" w:rsidRDefault="009C76FD" w:rsidP="000E3FA7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b/>
              </w:rPr>
            </w:pPr>
            <w:r>
              <w:t>S</w:t>
            </w:r>
            <w:r w:rsidRPr="009160F7">
              <w:t>tate case number, city</w:t>
            </w:r>
            <w:r>
              <w:t>/</w:t>
            </w:r>
            <w:r w:rsidRPr="009160F7">
              <w:t>county case number</w:t>
            </w:r>
            <w:r>
              <w:t xml:space="preserve"> and linking state case number should  equal 15 characters in length</w:t>
            </w:r>
          </w:p>
          <w:p w:rsidR="009C76FD" w:rsidRPr="000E3FA7" w:rsidRDefault="009C76FD" w:rsidP="000E3FA7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b/>
              </w:rPr>
            </w:pPr>
            <w:r>
              <w:t>If Linking State Case Numbers are entered then Linking Reason should also be entered</w:t>
            </w:r>
          </w:p>
        </w:tc>
      </w:tr>
      <w:tr w:rsidR="009C76FD" w:rsidTr="009C76FD">
        <w:trPr>
          <w:cantSplit/>
        </w:trPr>
        <w:tc>
          <w:tcPr>
            <w:tcW w:w="648" w:type="dxa"/>
            <w:vMerge/>
            <w:tcBorders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</w:p>
        </w:tc>
        <w:tc>
          <w:tcPr>
            <w:tcW w:w="2610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C37ACC" w:rsidRDefault="009C76FD" w:rsidP="00674883">
            <w:pPr>
              <w:rPr>
                <w:b/>
                <w:highlight w:val="yellow"/>
              </w:rPr>
            </w:pPr>
            <w:r w:rsidRPr="00066EC1">
              <w:rPr>
                <w:b/>
              </w:rPr>
              <w:t>City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18" w:space="0" w:color="auto"/>
            </w:tcBorders>
          </w:tcPr>
          <w:p w:rsidR="009C76FD" w:rsidRDefault="009C76FD" w:rsidP="009160F7">
            <w:r>
              <w:t>If City Limits is entered then City should also be entered</w:t>
            </w:r>
          </w:p>
        </w:tc>
      </w:tr>
      <w:tr w:rsidR="009C76FD" w:rsidTr="009C76FD">
        <w:trPr>
          <w:cantSplit/>
          <w:trHeight w:val="851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7</w:t>
            </w:r>
          </w:p>
          <w:p w:rsidR="009C76FD" w:rsidRPr="003531AB" w:rsidRDefault="009C76FD" w:rsidP="00AA14D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Previous Diagnosis of TB Disease</w:t>
            </w:r>
          </w:p>
          <w:p w:rsidR="009C76FD" w:rsidRPr="003531AB" w:rsidRDefault="009C76FD" w:rsidP="00AA14D5">
            <w:pPr>
              <w:rPr>
                <w:b/>
              </w:rPr>
            </w:pP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0E3FA7" w:rsidRDefault="009C76FD" w:rsidP="000E3FA7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b/>
              </w:rPr>
            </w:pPr>
            <w:r>
              <w:t xml:space="preserve">If Previous Year of TB has been entered then </w:t>
            </w:r>
            <w:r>
              <w:br/>
              <w:t xml:space="preserve">“Yes” should be checked for Previous Diagnosis of TB Disease </w:t>
            </w:r>
          </w:p>
          <w:p w:rsidR="009C76FD" w:rsidRPr="000E3FA7" w:rsidRDefault="009C76FD" w:rsidP="000E3FA7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b/>
              </w:rPr>
            </w:pPr>
            <w:r w:rsidRPr="00A91CEC">
              <w:t>Year of previous diagnosis of TB should be a four digit text value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8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Date of Birth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Default="009C76FD" w:rsidP="00293159">
            <w:pPr>
              <w:rPr>
                <w:b/>
              </w:rPr>
            </w:pPr>
            <w:r>
              <w:t>Birth dates should be in the past (not future)</w:t>
            </w:r>
          </w:p>
        </w:tc>
      </w:tr>
      <w:tr w:rsidR="009C76FD" w:rsidTr="009C76FD">
        <w:trPr>
          <w:cantSplit/>
          <w:trHeight w:val="1119"/>
        </w:trPr>
        <w:tc>
          <w:tcPr>
            <w:tcW w:w="648" w:type="dxa"/>
            <w:tcBorders>
              <w:top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11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Race</w:t>
            </w:r>
          </w:p>
        </w:tc>
        <w:tc>
          <w:tcPr>
            <w:tcW w:w="6318" w:type="dxa"/>
            <w:tcBorders>
              <w:top w:val="single" w:sz="18" w:space="0" w:color="auto"/>
            </w:tcBorders>
          </w:tcPr>
          <w:p w:rsidR="009C76FD" w:rsidRDefault="009C76FD" w:rsidP="000E3FA7">
            <w:pPr>
              <w:pStyle w:val="ListParagraph"/>
              <w:numPr>
                <w:ilvl w:val="0"/>
                <w:numId w:val="37"/>
              </w:numPr>
              <w:ind w:left="252" w:hanging="252"/>
            </w:pPr>
            <w:r>
              <w:t>If Asian Extent or Asian Name is entered then Asian Race should be entered as “Y”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7"/>
              </w:numPr>
              <w:ind w:left="252" w:hanging="252"/>
            </w:pPr>
            <w:r>
              <w:t>If Native Hawaiian Extent or Native Hawaiian Name is entered then Native Hawaiian Race should be entered as “Y”</w:t>
            </w:r>
          </w:p>
        </w:tc>
      </w:tr>
      <w:tr w:rsidR="009C76FD" w:rsidTr="009C76FD">
        <w:trPr>
          <w:cantSplit/>
          <w:trHeight w:val="323"/>
        </w:trPr>
        <w:tc>
          <w:tcPr>
            <w:tcW w:w="648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 w:rsidRPr="003531AB">
              <w:rPr>
                <w:b/>
              </w:rPr>
              <w:t>9</w:t>
            </w:r>
          </w:p>
        </w:tc>
        <w:tc>
          <w:tcPr>
            <w:tcW w:w="2610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>
              <w:rPr>
                <w:b/>
              </w:rPr>
              <w:t>Sex at Birth</w:t>
            </w:r>
            <w:r w:rsidRPr="003531AB">
              <w:rPr>
                <w:b/>
              </w:rPr>
              <w:t xml:space="preserve"> 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</w:tcBorders>
          </w:tcPr>
          <w:p w:rsidR="009C76FD" w:rsidRDefault="009C76FD" w:rsidP="00502DE2">
            <w:pPr>
              <w:rPr>
                <w:b/>
              </w:rPr>
            </w:pPr>
            <w:r>
              <w:t>Check for high rates of completion of demographic variables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FB0B06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318" w:type="dxa"/>
            <w:vMerge/>
          </w:tcPr>
          <w:p w:rsidR="009C76FD" w:rsidRDefault="009C76FD" w:rsidP="00FB0B06"/>
        </w:tc>
      </w:tr>
      <w:tr w:rsidR="009C76FD" w:rsidTr="009C76FD">
        <w:trPr>
          <w:cantSplit/>
        </w:trPr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FB0B06">
            <w:pPr>
              <w:rPr>
                <w:b/>
              </w:rPr>
            </w:pPr>
            <w:r>
              <w:rPr>
                <w:b/>
              </w:rPr>
              <w:t>Race</w:t>
            </w:r>
            <w:r w:rsidRPr="003531AB">
              <w:rPr>
                <w:b/>
              </w:rPr>
              <w:t xml:space="preserve"> and</w:t>
            </w:r>
          </w:p>
        </w:tc>
        <w:tc>
          <w:tcPr>
            <w:tcW w:w="6318" w:type="dxa"/>
            <w:vMerge/>
          </w:tcPr>
          <w:p w:rsidR="009C76FD" w:rsidRDefault="009C76FD" w:rsidP="00FB0B06"/>
        </w:tc>
      </w:tr>
      <w:tr w:rsidR="009C76FD" w:rsidTr="009C76FD">
        <w:trPr>
          <w:cantSplit/>
        </w:trPr>
        <w:tc>
          <w:tcPr>
            <w:tcW w:w="648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 w:rsidRPr="003531AB">
              <w:rPr>
                <w:b/>
              </w:rPr>
              <w:t>12</w:t>
            </w:r>
          </w:p>
        </w:tc>
        <w:tc>
          <w:tcPr>
            <w:tcW w:w="2610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FB0B06">
            <w:pPr>
              <w:rPr>
                <w:b/>
              </w:rPr>
            </w:pPr>
            <w:r w:rsidRPr="003531AB">
              <w:rPr>
                <w:b/>
              </w:rPr>
              <w:t>Country of Birth</w:t>
            </w:r>
          </w:p>
        </w:tc>
        <w:tc>
          <w:tcPr>
            <w:tcW w:w="6318" w:type="dxa"/>
            <w:vMerge/>
            <w:tcBorders>
              <w:bottom w:val="single" w:sz="18" w:space="0" w:color="auto"/>
            </w:tcBorders>
          </w:tcPr>
          <w:p w:rsidR="009C76FD" w:rsidRDefault="009C76FD" w:rsidP="00FB0B06"/>
        </w:tc>
      </w:tr>
      <w:tr w:rsidR="009C76FD" w:rsidTr="009C76FD">
        <w:trPr>
          <w:cantSplit/>
          <w:trHeight w:val="324"/>
        </w:trPr>
        <w:tc>
          <w:tcPr>
            <w:tcW w:w="648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0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8B6EAB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</w:tcBorders>
          </w:tcPr>
          <w:p w:rsidR="009C76FD" w:rsidRDefault="009C76FD" w:rsidP="00FB0B06">
            <w:r>
              <w:t>Check for correct Country of Birth for Race of</w:t>
            </w:r>
          </w:p>
          <w:p w:rsidR="009C76FD" w:rsidRPr="00E35709" w:rsidRDefault="009C76FD" w:rsidP="000E3FA7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 w:rsidRPr="00E35709">
              <w:t xml:space="preserve">Native Hawaiian or other Pacific Islander </w:t>
            </w:r>
          </w:p>
          <w:p w:rsidR="009C76FD" w:rsidRPr="000E3FA7" w:rsidRDefault="009C76FD" w:rsidP="00ED4DE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b/>
              </w:rPr>
            </w:pPr>
            <w:r w:rsidRPr="00E35709">
              <w:t>American Indian or Alaska Native</w:t>
            </w:r>
          </w:p>
        </w:tc>
      </w:tr>
      <w:tr w:rsidR="009C76FD" w:rsidTr="009C76FD">
        <w:trPr>
          <w:cantSplit/>
          <w:trHeight w:val="457"/>
        </w:trPr>
        <w:tc>
          <w:tcPr>
            <w:tcW w:w="648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 w:rsidRPr="003531AB">
              <w:rPr>
                <w:b/>
              </w:rPr>
              <w:t>12</w:t>
            </w:r>
          </w:p>
        </w:tc>
        <w:tc>
          <w:tcPr>
            <w:tcW w:w="2610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FB0B06">
            <w:pPr>
              <w:rPr>
                <w:b/>
              </w:rPr>
            </w:pPr>
            <w:r w:rsidRPr="003531AB">
              <w:rPr>
                <w:b/>
              </w:rPr>
              <w:t>Country of Birth</w:t>
            </w:r>
          </w:p>
        </w:tc>
        <w:tc>
          <w:tcPr>
            <w:tcW w:w="6318" w:type="dxa"/>
            <w:vMerge/>
            <w:tcBorders>
              <w:bottom w:val="single" w:sz="18" w:space="0" w:color="auto"/>
            </w:tcBorders>
          </w:tcPr>
          <w:p w:rsidR="009C76FD" w:rsidRDefault="009C76FD" w:rsidP="00FB0B06"/>
        </w:tc>
      </w:tr>
      <w:tr w:rsidR="009C76FD" w:rsidTr="009C76FD">
        <w:trPr>
          <w:cantSplit/>
          <w:trHeight w:val="1398"/>
        </w:trPr>
        <w:tc>
          <w:tcPr>
            <w:tcW w:w="648" w:type="dxa"/>
            <w:tcBorders>
              <w:top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lastRenderedPageBreak/>
              <w:t>12</w:t>
            </w:r>
          </w:p>
          <w:p w:rsidR="009C76FD" w:rsidRPr="003531AB" w:rsidRDefault="009C76FD" w:rsidP="006A2A60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Country of Birth</w:t>
            </w:r>
          </w:p>
        </w:tc>
        <w:tc>
          <w:tcPr>
            <w:tcW w:w="6318" w:type="dxa"/>
            <w:tcBorders>
              <w:top w:val="single" w:sz="18" w:space="0" w:color="auto"/>
            </w:tcBorders>
          </w:tcPr>
          <w:p w:rsidR="009C76FD" w:rsidRPr="00293159" w:rsidRDefault="009C76FD" w:rsidP="000E3FA7">
            <w:pPr>
              <w:pStyle w:val="ListParagraph"/>
              <w:numPr>
                <w:ilvl w:val="0"/>
                <w:numId w:val="36"/>
              </w:numPr>
              <w:ind w:left="252" w:hanging="252"/>
            </w:pPr>
            <w:r>
              <w:t>A</w:t>
            </w:r>
            <w:r w:rsidRPr="00AC023F">
              <w:t xml:space="preserve">ll records </w:t>
            </w:r>
            <w:r>
              <w:t xml:space="preserve">should </w:t>
            </w:r>
            <w:r w:rsidRPr="00AC023F">
              <w:t xml:space="preserve">have a </w:t>
            </w:r>
            <w:r>
              <w:t>“Country of Birth” specified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6"/>
              </w:numPr>
              <w:ind w:left="252" w:hanging="252"/>
            </w:pPr>
            <w:r>
              <w:t xml:space="preserve">If U.S.-born is “No” the Country of Birth should </w:t>
            </w:r>
            <w:r w:rsidRPr="000E3FA7">
              <w:rPr>
                <w:b/>
              </w:rPr>
              <w:t>not</w:t>
            </w:r>
            <w:r>
              <w:t xml:space="preserve"> be “United States”</w:t>
            </w:r>
          </w:p>
          <w:p w:rsidR="009C76FD" w:rsidRPr="00293159" w:rsidRDefault="009C76FD" w:rsidP="000E3FA7">
            <w:pPr>
              <w:pStyle w:val="ListParagraph"/>
              <w:numPr>
                <w:ilvl w:val="0"/>
                <w:numId w:val="36"/>
              </w:numPr>
              <w:ind w:left="252" w:hanging="252"/>
            </w:pPr>
            <w:r>
              <w:t>If Country of Birth is entered as “United States” then Arrival Date should be missing</w:t>
            </w:r>
          </w:p>
        </w:tc>
      </w:tr>
      <w:tr w:rsidR="009C76FD" w:rsidTr="009C76FD">
        <w:trPr>
          <w:cantSplit/>
          <w:trHeight w:val="584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572021">
            <w:pPr>
              <w:rPr>
                <w:b/>
              </w:rPr>
            </w:pPr>
            <w:r w:rsidRPr="003531AB">
              <w:rPr>
                <w:b/>
              </w:rPr>
              <w:t>13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572021">
            <w:pPr>
              <w:rPr>
                <w:b/>
              </w:rPr>
            </w:pPr>
            <w:r w:rsidRPr="003531AB">
              <w:rPr>
                <w:b/>
              </w:rPr>
              <w:t>Month-Year Arrived in U.S.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Default="009C76FD" w:rsidP="00502DE2">
            <w:pPr>
              <w:rPr>
                <w:b/>
              </w:rPr>
            </w:pPr>
            <w:r>
              <w:t xml:space="preserve">Month-year arrived in U.S. </w:t>
            </w:r>
            <w:r w:rsidRPr="00A91CEC">
              <w:t>should be earlier or equal to the current date.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14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Pediatric TB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76FD" w:rsidRPr="000A7AF8" w:rsidRDefault="009C76FD" w:rsidP="000A7AF8">
            <w:r>
              <w:t xml:space="preserve">If Lived Outside the United States For More Than Two Months is Not entered as “Y” then Countries Specified should be blank </w:t>
            </w:r>
          </w:p>
        </w:tc>
      </w:tr>
      <w:tr w:rsidR="009C76FD" w:rsidTr="009C76FD">
        <w:trPr>
          <w:cantSplit/>
          <w:trHeight w:val="1119"/>
        </w:trPr>
        <w:tc>
          <w:tcPr>
            <w:tcW w:w="648" w:type="dxa"/>
            <w:tcBorders>
              <w:top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15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Status at TB Diagnosis</w:t>
            </w:r>
          </w:p>
        </w:tc>
        <w:tc>
          <w:tcPr>
            <w:tcW w:w="6318" w:type="dxa"/>
            <w:tcBorders>
              <w:top w:val="single" w:sz="18" w:space="0" w:color="auto"/>
            </w:tcBorders>
            <w:shd w:val="clear" w:color="auto" w:fill="auto"/>
          </w:tcPr>
          <w:p w:rsidR="009C76FD" w:rsidRPr="000A7AF8" w:rsidRDefault="009C76FD" w:rsidP="000E3FA7">
            <w:pPr>
              <w:pStyle w:val="ListParagraph"/>
              <w:numPr>
                <w:ilvl w:val="0"/>
                <w:numId w:val="35"/>
              </w:numPr>
              <w:ind w:left="252" w:hanging="252"/>
            </w:pPr>
            <w:r>
              <w:t>If Status at Diagnosis is entered as “DEAD” then Was TB a Cause of Death should not be blank</w:t>
            </w:r>
          </w:p>
          <w:p w:rsidR="009C76FD" w:rsidRPr="000A7AF8" w:rsidRDefault="009C76FD" w:rsidP="000E3FA7">
            <w:pPr>
              <w:pStyle w:val="ListParagraph"/>
              <w:numPr>
                <w:ilvl w:val="0"/>
                <w:numId w:val="35"/>
              </w:numPr>
              <w:ind w:left="252" w:hanging="252"/>
            </w:pPr>
            <w:r>
              <w:t>If Status at Diagnosis is entered as “ALIVE” then Date of Death should be missing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16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Site of TB Disease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76FD" w:rsidRDefault="009C76FD" w:rsidP="000A7AF8">
            <w:pPr>
              <w:rPr>
                <w:b/>
              </w:rPr>
            </w:pPr>
            <w:r w:rsidRPr="000A7AF8">
              <w:t xml:space="preserve">When selecting </w:t>
            </w:r>
            <w:r>
              <w:t>Site of D</w:t>
            </w:r>
            <w:r w:rsidRPr="000A7AF8">
              <w:t xml:space="preserve">isease as “Other” also include the </w:t>
            </w:r>
            <w:r>
              <w:t>A</w:t>
            </w:r>
            <w:r w:rsidRPr="000A7AF8">
              <w:t xml:space="preserve">natomic </w:t>
            </w:r>
            <w:r>
              <w:t>C</w:t>
            </w:r>
            <w:r w:rsidRPr="000A7AF8">
              <w:t>ode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17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Sputum Smear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6C3A04" w:rsidRDefault="009C76FD" w:rsidP="006C3A04">
            <w:r>
              <w:t>A Sputum Smear Collection Date is entered only when Sputum Smear Results are entered as “Positive” or “Negative”</w:t>
            </w:r>
          </w:p>
        </w:tc>
      </w:tr>
      <w:tr w:rsidR="009C76FD" w:rsidTr="009C76FD">
        <w:trPr>
          <w:cantSplit/>
          <w:trHeight w:val="1681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A2A60">
            <w:pPr>
              <w:rPr>
                <w:b/>
              </w:rPr>
            </w:pPr>
            <w:r w:rsidRPr="003531AB">
              <w:rPr>
                <w:b/>
              </w:rPr>
              <w:t>18</w:t>
            </w:r>
          </w:p>
          <w:p w:rsidR="009C76FD" w:rsidRPr="003531AB" w:rsidRDefault="009C76FD" w:rsidP="006A2A60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Sputum Culture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6C3A04" w:rsidRDefault="009C76FD" w:rsidP="000E3FA7">
            <w:pPr>
              <w:pStyle w:val="ListParagraph"/>
              <w:numPr>
                <w:ilvl w:val="0"/>
                <w:numId w:val="34"/>
              </w:numPr>
              <w:ind w:left="252" w:hanging="252"/>
            </w:pPr>
            <w:r>
              <w:t>Sputum Culture Collection Date is entered only when Sputum Culture Results are entered as “Positive” or “Negative”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4"/>
              </w:numPr>
              <w:ind w:left="252" w:hanging="252"/>
            </w:pPr>
            <w:r>
              <w:t>Sputum Culture Results Reporting Date is entered only when Sputum Culture Results are entered as “Positive”</w:t>
            </w:r>
          </w:p>
          <w:p w:rsidR="009C76FD" w:rsidRPr="006C3A04" w:rsidRDefault="009C76FD" w:rsidP="000E3FA7">
            <w:pPr>
              <w:pStyle w:val="ListParagraph"/>
              <w:numPr>
                <w:ilvl w:val="0"/>
                <w:numId w:val="34"/>
              </w:numPr>
              <w:ind w:left="252" w:hanging="252"/>
            </w:pPr>
            <w:r>
              <w:t xml:space="preserve">Sputum Culture Reporting Lab Type is entered only when Sputum Culture Results are entered as “Positive” 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24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19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24" w:space="0" w:color="auto"/>
            </w:tcBorders>
          </w:tcPr>
          <w:p w:rsidR="009C76FD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Smear/Pathology/</w:t>
            </w:r>
          </w:p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Cytology of Tissue and Other Body Fluids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24" w:space="0" w:color="auto"/>
            </w:tcBorders>
          </w:tcPr>
          <w:p w:rsidR="009C76FD" w:rsidRDefault="009C76FD" w:rsidP="00CC04FA">
            <w:r>
              <w:t>Only when Smear/Cytology/Pathology result is entered as “Positive” or “Negative”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Collection Date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Anatomic Code</w:t>
            </w:r>
          </w:p>
          <w:p w:rsidR="009C76FD" w:rsidRPr="006C3A04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Type of Exam</w:t>
            </w:r>
          </w:p>
        </w:tc>
      </w:tr>
      <w:tr w:rsidR="009C76FD" w:rsidTr="009C76FD">
        <w:trPr>
          <w:cantSplit/>
          <w:trHeight w:val="3339"/>
        </w:trPr>
        <w:tc>
          <w:tcPr>
            <w:tcW w:w="648" w:type="dxa"/>
            <w:tcBorders>
              <w:top w:val="single" w:sz="24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20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Culture of Tissue and Other Body Fluids</w:t>
            </w:r>
          </w:p>
        </w:tc>
        <w:tc>
          <w:tcPr>
            <w:tcW w:w="6318" w:type="dxa"/>
            <w:tcBorders>
              <w:top w:val="single" w:sz="24" w:space="0" w:color="auto"/>
              <w:bottom w:val="single" w:sz="18" w:space="0" w:color="auto"/>
            </w:tcBorders>
          </w:tcPr>
          <w:p w:rsidR="009C76FD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Only when Culture of Tissue or Other Body Fluids (CTOBF) result is entered as “Positive” or “Negative”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1"/>
                <w:numId w:val="12"/>
              </w:numPr>
              <w:ind w:left="612"/>
            </w:pPr>
            <w:r>
              <w:t>Collection Date</w:t>
            </w:r>
          </w:p>
          <w:p w:rsidR="009C76FD" w:rsidRPr="00893A06" w:rsidRDefault="009C76FD" w:rsidP="000E3FA7">
            <w:pPr>
              <w:pStyle w:val="ListParagraph"/>
              <w:numPr>
                <w:ilvl w:val="1"/>
                <w:numId w:val="12"/>
              </w:numPr>
              <w:ind w:left="612"/>
            </w:pPr>
            <w:r>
              <w:t>Anatomic Code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Only when Culture of Tissue or Other Body Fluids (CTOBF) result is entered as “Positive”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1"/>
                <w:numId w:val="12"/>
              </w:numPr>
              <w:ind w:left="612"/>
            </w:pPr>
            <w:r>
              <w:t>Reporting Lab Type</w:t>
            </w:r>
          </w:p>
          <w:p w:rsidR="009C76FD" w:rsidRDefault="009C76FD" w:rsidP="000E3FA7">
            <w:pPr>
              <w:pStyle w:val="ListParagraph"/>
              <w:numPr>
                <w:ilvl w:val="1"/>
                <w:numId w:val="12"/>
              </w:numPr>
              <w:ind w:left="612"/>
            </w:pPr>
            <w:r>
              <w:t>Results Reporting Date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CTOBF Reporting Lab Type is entered only when CTOBF results are entered as “Positive”</w:t>
            </w:r>
          </w:p>
          <w:p w:rsidR="009C76FD" w:rsidRDefault="009C76FD" w:rsidP="00893A06"/>
          <w:p w:rsidR="009C76FD" w:rsidRPr="00893A06" w:rsidRDefault="009C76FD" w:rsidP="00893A06"/>
        </w:tc>
      </w:tr>
      <w:tr w:rsidR="009C76FD" w:rsidTr="009C76FD">
        <w:trPr>
          <w:cantSplit/>
          <w:trHeight w:val="576"/>
        </w:trPr>
        <w:tc>
          <w:tcPr>
            <w:tcW w:w="648" w:type="dxa"/>
            <w:vMerge w:val="restart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lastRenderedPageBreak/>
              <w:t>21</w:t>
            </w:r>
          </w:p>
          <w:p w:rsidR="009C76FD" w:rsidRPr="003531AB" w:rsidRDefault="009C76FD" w:rsidP="00FB187A">
            <w:pPr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top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Nucleic Acid Amplification (NAA) Test Result</w:t>
            </w:r>
          </w:p>
        </w:tc>
        <w:tc>
          <w:tcPr>
            <w:tcW w:w="6318" w:type="dxa"/>
            <w:tcBorders>
              <w:top w:val="single" w:sz="18" w:space="0" w:color="auto"/>
            </w:tcBorders>
          </w:tcPr>
          <w:p w:rsidR="009C76FD" w:rsidRDefault="009C76FD" w:rsidP="00A52BC8">
            <w:r>
              <w:t>Only when NAA test result is entered as “Positive” or “Negative”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t>Collection date</w:t>
            </w:r>
          </w:p>
          <w:p w:rsidR="009C76FD" w:rsidRPr="00A52BC8" w:rsidRDefault="009C76FD" w:rsidP="000E3FA7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t xml:space="preserve">Specimen type </w:t>
            </w:r>
          </w:p>
        </w:tc>
      </w:tr>
      <w:tr w:rsidR="009C76FD" w:rsidTr="009C76FD">
        <w:trPr>
          <w:cantSplit/>
          <w:trHeight w:val="576"/>
        </w:trPr>
        <w:tc>
          <w:tcPr>
            <w:tcW w:w="648" w:type="dxa"/>
            <w:vMerge/>
            <w:tcBorders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</w:p>
        </w:tc>
        <w:tc>
          <w:tcPr>
            <w:tcW w:w="6318" w:type="dxa"/>
            <w:tcBorders>
              <w:bottom w:val="single" w:sz="18" w:space="0" w:color="auto"/>
            </w:tcBorders>
          </w:tcPr>
          <w:p w:rsidR="009C76FD" w:rsidRDefault="009C76FD" w:rsidP="002B4A74">
            <w:r>
              <w:t>Only when NAA test result is entered as “Positive”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t>Results Reporting date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t>Reporting Lab type</w:t>
            </w:r>
          </w:p>
        </w:tc>
      </w:tr>
      <w:tr w:rsidR="009C76FD" w:rsidTr="009C76FD">
        <w:trPr>
          <w:cantSplit/>
          <w:trHeight w:val="255"/>
        </w:trPr>
        <w:tc>
          <w:tcPr>
            <w:tcW w:w="648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C00679">
            <w:pPr>
              <w:rPr>
                <w:b/>
              </w:rPr>
            </w:pPr>
            <w:r w:rsidRPr="003531AB">
              <w:rPr>
                <w:b/>
              </w:rPr>
              <w:t>22A</w:t>
            </w:r>
          </w:p>
        </w:tc>
        <w:tc>
          <w:tcPr>
            <w:tcW w:w="2610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8B6EAB">
            <w:pPr>
              <w:rPr>
                <w:b/>
              </w:rPr>
            </w:pPr>
            <w:r>
              <w:rPr>
                <w:b/>
              </w:rPr>
              <w:t>Initial Chest Radiograph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</w:tcBorders>
          </w:tcPr>
          <w:p w:rsidR="009C76FD" w:rsidRDefault="009C76FD" w:rsidP="00A52BC8">
            <w:r w:rsidRPr="00A01D89">
              <w:t>Only when</w:t>
            </w:r>
            <w:r>
              <w:rPr>
                <w:b/>
              </w:rPr>
              <w:t xml:space="preserve"> </w:t>
            </w:r>
            <w:r>
              <w:t>chest x-ray or chest CT scan is entered as “Abnormal”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4"/>
              </w:numPr>
              <w:ind w:left="252" w:hanging="252"/>
            </w:pPr>
            <w:r>
              <w:t>Evidence of a cavity</w:t>
            </w:r>
          </w:p>
          <w:p w:rsidR="009C76FD" w:rsidRPr="00A01D89" w:rsidRDefault="009C76FD" w:rsidP="000E3FA7">
            <w:pPr>
              <w:pStyle w:val="ListParagraph"/>
              <w:numPr>
                <w:ilvl w:val="0"/>
                <w:numId w:val="14"/>
              </w:numPr>
              <w:ind w:left="252" w:hanging="252"/>
            </w:pPr>
            <w:r>
              <w:t>Evidence of miliary disease</w:t>
            </w:r>
          </w:p>
        </w:tc>
      </w:tr>
      <w:tr w:rsidR="009C76FD" w:rsidTr="009C76FD">
        <w:trPr>
          <w:cantSplit/>
          <w:trHeight w:val="457"/>
        </w:trPr>
        <w:tc>
          <w:tcPr>
            <w:tcW w:w="648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22B</w:t>
            </w:r>
          </w:p>
        </w:tc>
        <w:tc>
          <w:tcPr>
            <w:tcW w:w="2610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Initial Chest CT Scan or Other Chest Imaging Study</w:t>
            </w:r>
          </w:p>
        </w:tc>
        <w:tc>
          <w:tcPr>
            <w:tcW w:w="6318" w:type="dxa"/>
            <w:vMerge/>
            <w:tcBorders>
              <w:bottom w:val="single" w:sz="18" w:space="0" w:color="auto"/>
            </w:tcBorders>
          </w:tcPr>
          <w:p w:rsidR="009C76FD" w:rsidRPr="00A01D89" w:rsidRDefault="009C76FD" w:rsidP="00A52BC8"/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23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Tuberculin (Mantoux) Skin Test at Diagnosis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Default="009C76FD" w:rsidP="00A01D89">
            <w:r>
              <w:t>Only when TB skin test result is entered as “Positive” or “Negative”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5"/>
              </w:numPr>
              <w:ind w:left="252" w:hanging="252"/>
            </w:pPr>
            <w:r>
              <w:t>Millimeters of induration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5"/>
              </w:numPr>
              <w:ind w:left="252" w:hanging="252"/>
            </w:pPr>
            <w:r>
              <w:t>Date skin test was placed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24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 xml:space="preserve">Interferon Gamma Release Assay (IGRA) for </w:t>
            </w:r>
            <w:r w:rsidRPr="003531AB">
              <w:rPr>
                <w:b/>
                <w:i/>
              </w:rPr>
              <w:t>Mycobacterium</w:t>
            </w:r>
            <w:r w:rsidRPr="003531AB">
              <w:rPr>
                <w:b/>
                <w:i/>
              </w:rPr>
              <w:br/>
              <w:t>Tuberculosis</w:t>
            </w:r>
            <w:r w:rsidRPr="003531AB">
              <w:rPr>
                <w:b/>
              </w:rPr>
              <w:t xml:space="preserve"> at Diagnosis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Default="009C76FD" w:rsidP="00A01D89">
            <w:r>
              <w:t>Only when IGRA test result is entered as “Positive” or “Negative” should the following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Collection date</w:t>
            </w:r>
          </w:p>
          <w:p w:rsidR="009C76FD" w:rsidRPr="00A01D89" w:rsidRDefault="009C76FD" w:rsidP="000E3FA7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Test type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26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HIV Status at Time of Diagnosis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A01D89" w:rsidRDefault="009C76FD" w:rsidP="006A2A60">
            <w:r>
              <w:t>Only when HIV/AIDS status is entered as “Positive” should the HIV/AIDS registry numbers be entered</w:t>
            </w:r>
          </w:p>
        </w:tc>
      </w:tr>
      <w:tr w:rsidR="009C76FD" w:rsidTr="009C76FD">
        <w:trPr>
          <w:cantSplit/>
          <w:trHeight w:val="2218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28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Resident of Correctional Facility at Time of Diagnosis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0E3FA7" w:rsidRDefault="009C76FD" w:rsidP="000E3FA7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b/>
              </w:rPr>
            </w:pPr>
            <w:r>
              <w:t>Only when resident of correctional facility at time of diagnosis is entered as “Yes” should the Type of Correctional Facility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3"/>
              </w:numPr>
              <w:ind w:left="252" w:hanging="252"/>
            </w:pPr>
            <w:r>
              <w:t>Only when resident of correctional facility at time of diagnosis is entered as “Yes” should Was the patient under the custody of Immigration and Customs Enforcement be entered</w:t>
            </w:r>
          </w:p>
          <w:p w:rsidR="009C76FD" w:rsidRPr="000E3FA7" w:rsidRDefault="009C76FD" w:rsidP="000E3FA7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b/>
              </w:rPr>
            </w:pPr>
            <w:r>
              <w:t xml:space="preserve">Only when resident of correctional facility at time of diagnosis is not entered as “Yes” should resident of long-term care facility at time of diagnosis be entered as “Yes” 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29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Resident of Long-Term Care Facility at Time of Diagnosis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6D3B0B" w:rsidRDefault="009C76FD" w:rsidP="00463728">
            <w:r>
              <w:t>Only when resident of long-term care facility at time of diagnosis is entered as “Yes” should the Type of long-term care facility be entered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36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Date Therapy Started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A91CEC" w:rsidRDefault="009C76FD" w:rsidP="00D66508">
            <w:r w:rsidRPr="00A91CEC">
              <w:t xml:space="preserve">Start therapy date should be earlier or equal to the current date.  </w:t>
            </w:r>
          </w:p>
        </w:tc>
      </w:tr>
      <w:tr w:rsidR="009C76FD" w:rsidTr="009C76FD">
        <w:trPr>
          <w:cantSplit/>
          <w:trHeight w:val="1940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38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Genotyping Accession Number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0E3FA7" w:rsidRDefault="009C76FD" w:rsidP="000E3FA7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b/>
              </w:rPr>
            </w:pPr>
            <w:r>
              <w:t>Only when an Isolate Submitted for Genotyping is entered as “Yes” should a Genotyping Accession Number be entered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2"/>
              </w:numPr>
              <w:ind w:left="252" w:hanging="252"/>
            </w:pPr>
            <w:r>
              <w:t>Valid Genotyping Accession Numbers have an “L” in the 3</w:t>
            </w:r>
            <w:r w:rsidRPr="000E3FA7">
              <w:rPr>
                <w:vertAlign w:val="superscript"/>
              </w:rPr>
              <w:t>rd</w:t>
            </w:r>
            <w:r>
              <w:t xml:space="preserve"> digit, an “RF” in the 3</w:t>
            </w:r>
            <w:r w:rsidRPr="000E3FA7">
              <w:rPr>
                <w:vertAlign w:val="superscript"/>
              </w:rPr>
              <w:t>rd</w:t>
            </w:r>
            <w:r>
              <w:t xml:space="preserve"> and 4</w:t>
            </w:r>
            <w:r w:rsidRPr="000E3FA7">
              <w:rPr>
                <w:vertAlign w:val="superscript"/>
              </w:rPr>
              <w:t>th</w:t>
            </w:r>
            <w:r>
              <w:t xml:space="preserve"> digits or a “-“ in the 3</w:t>
            </w:r>
            <w:r w:rsidRPr="000E3FA7">
              <w:rPr>
                <w:vertAlign w:val="superscript"/>
              </w:rPr>
              <w:t>rd</w:t>
            </w:r>
            <w:r>
              <w:t xml:space="preserve"> digit</w:t>
            </w:r>
          </w:p>
          <w:p w:rsidR="009C76FD" w:rsidRDefault="009C76FD" w:rsidP="007F3592"/>
          <w:p w:rsidR="009C76FD" w:rsidRDefault="009C76FD" w:rsidP="007F3592"/>
          <w:p w:rsidR="009C76FD" w:rsidRDefault="009C76FD" w:rsidP="007F3592">
            <w:pPr>
              <w:rPr>
                <w:b/>
              </w:rPr>
            </w:pPr>
          </w:p>
        </w:tc>
      </w:tr>
      <w:tr w:rsidR="009C76FD" w:rsidTr="009C76FD">
        <w:trPr>
          <w:cantSplit/>
          <w:trHeight w:val="2228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481846">
            <w:pPr>
              <w:rPr>
                <w:b/>
              </w:rPr>
            </w:pPr>
            <w:r w:rsidRPr="003531AB">
              <w:rPr>
                <w:b/>
              </w:rPr>
              <w:lastRenderedPageBreak/>
              <w:t>39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Initial Drug Susceptibility Testing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481846" w:rsidRDefault="009C76FD" w:rsidP="000E3FA7">
            <w:pPr>
              <w:pStyle w:val="ListParagraph"/>
              <w:numPr>
                <w:ilvl w:val="0"/>
                <w:numId w:val="31"/>
              </w:numPr>
              <w:ind w:left="252" w:hanging="252"/>
            </w:pPr>
            <w:r>
              <w:t>Initial Susceptibility Testing should only be entered when Sputum Culture is entered as “Positive” or Culture of Tissue and Other Body Fluids is entered as “Positive”</w:t>
            </w:r>
          </w:p>
          <w:p w:rsidR="009C76FD" w:rsidRDefault="009C76FD" w:rsidP="000E3FA7">
            <w:pPr>
              <w:pStyle w:val="ListParagraph"/>
              <w:numPr>
                <w:ilvl w:val="0"/>
                <w:numId w:val="31"/>
              </w:numPr>
              <w:ind w:left="252" w:hanging="252"/>
            </w:pPr>
            <w:r>
              <w:t>Initial Susceptibility Test Date should only be entered when Initial Susceptibility Testing is entered as “Y”</w:t>
            </w:r>
          </w:p>
          <w:p w:rsidR="009C76FD" w:rsidRPr="00481846" w:rsidRDefault="009C76FD" w:rsidP="000E3FA7">
            <w:pPr>
              <w:pStyle w:val="ListParagraph"/>
              <w:numPr>
                <w:ilvl w:val="0"/>
                <w:numId w:val="31"/>
              </w:numPr>
              <w:ind w:left="252" w:hanging="252"/>
            </w:pPr>
            <w:r>
              <w:t>Review Initial Susceptibility Test Date to eliminate illogical entries</w:t>
            </w:r>
          </w:p>
          <w:p w:rsidR="009C76FD" w:rsidRPr="00481846" w:rsidRDefault="009C76FD" w:rsidP="000E3FA7">
            <w:pPr>
              <w:pStyle w:val="ListParagraph"/>
              <w:numPr>
                <w:ilvl w:val="0"/>
                <w:numId w:val="31"/>
              </w:numPr>
              <w:ind w:left="252" w:hanging="252"/>
            </w:pPr>
            <w:r w:rsidRPr="00481846">
              <w:t>A response should be entered for the Specimen Type only when Initial Susceptibility Testing is entered as “Yes”</w:t>
            </w:r>
          </w:p>
        </w:tc>
      </w:tr>
      <w:tr w:rsidR="009C76FD" w:rsidTr="009C76FD">
        <w:trPr>
          <w:cantSplit/>
          <w:trHeight w:val="1134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40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Initial Drug Susceptibility Results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481846" w:rsidRDefault="009C76FD" w:rsidP="000E3FA7">
            <w:pPr>
              <w:pStyle w:val="ListParagraph"/>
              <w:numPr>
                <w:ilvl w:val="0"/>
                <w:numId w:val="30"/>
              </w:numPr>
              <w:ind w:left="252" w:hanging="252"/>
            </w:pPr>
            <w:r w:rsidRPr="00481846">
              <w:t xml:space="preserve">A response should be entered for each drug for Initial Susceptibility Testing </w:t>
            </w:r>
          </w:p>
          <w:p w:rsidR="009C76FD" w:rsidRPr="00481846" w:rsidRDefault="009C76FD" w:rsidP="000E3FA7">
            <w:pPr>
              <w:pStyle w:val="ListParagraph"/>
              <w:numPr>
                <w:ilvl w:val="0"/>
                <w:numId w:val="30"/>
              </w:numPr>
              <w:ind w:left="252" w:hanging="252"/>
            </w:pPr>
            <w:r w:rsidRPr="00481846">
              <w:t>A response for “Other: Specify” should only be entered when a response to “Other” drug has been entered</w:t>
            </w:r>
          </w:p>
        </w:tc>
      </w:tr>
      <w:tr w:rsidR="009C76FD" w:rsidTr="009C76FD">
        <w:trPr>
          <w:cantSplit/>
          <w:trHeight w:val="1671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41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Sputum Culture Conversion Documented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DE1DB0" w:rsidRDefault="009C76FD" w:rsidP="000E3FA7">
            <w:pPr>
              <w:pStyle w:val="ListParagraph"/>
              <w:numPr>
                <w:ilvl w:val="0"/>
                <w:numId w:val="29"/>
              </w:numPr>
              <w:ind w:left="252" w:hanging="252"/>
            </w:pPr>
            <w:r w:rsidRPr="00DE1DB0">
              <w:t>A response for Reason Culture Conversion Not Documented should be entered only when Sputum Culture Conversion Documented is  entered as “No”</w:t>
            </w:r>
          </w:p>
          <w:p w:rsidR="009C76FD" w:rsidRPr="00DE1DB0" w:rsidRDefault="009C76FD" w:rsidP="000E3FA7">
            <w:pPr>
              <w:pStyle w:val="ListParagraph"/>
              <w:numPr>
                <w:ilvl w:val="0"/>
                <w:numId w:val="29"/>
              </w:numPr>
              <w:ind w:left="252" w:hanging="252"/>
            </w:pPr>
            <w:r w:rsidRPr="00DE1DB0">
              <w:t>A response for First Consistently Negative Sputum Culture should be entered only when Sputum Culture Conversion Documented is entered</w:t>
            </w:r>
            <w:r>
              <w:t xml:space="preserve"> as “</w:t>
            </w:r>
            <w:r w:rsidRPr="00DE1DB0">
              <w:t>Yes”</w:t>
            </w:r>
          </w:p>
        </w:tc>
      </w:tr>
      <w:tr w:rsidR="009C76FD" w:rsidTr="009C76FD">
        <w:trPr>
          <w:cantSplit/>
          <w:trHeight w:val="1681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42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Moved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AA14D5" w:rsidRDefault="009C76FD" w:rsidP="000E3FA7">
            <w:pPr>
              <w:pStyle w:val="ListParagraph"/>
              <w:numPr>
                <w:ilvl w:val="0"/>
                <w:numId w:val="28"/>
              </w:numPr>
              <w:ind w:left="252" w:hanging="252"/>
            </w:pPr>
            <w:r w:rsidRPr="00AA14D5">
              <w:t>The location a patient moved to during therapy should only be entered if the Patient Moved indicator is “Yes”</w:t>
            </w:r>
          </w:p>
          <w:p w:rsidR="009C76FD" w:rsidRPr="00AA14D5" w:rsidRDefault="009C76FD" w:rsidP="000E3FA7">
            <w:pPr>
              <w:pStyle w:val="ListParagraph"/>
              <w:numPr>
                <w:ilvl w:val="0"/>
                <w:numId w:val="28"/>
              </w:numPr>
              <w:ind w:left="252" w:hanging="252"/>
            </w:pPr>
            <w:r>
              <w:t>City and county, state or country should be specified for a move only when the Move location is not blank</w:t>
            </w:r>
          </w:p>
          <w:p w:rsidR="009C76FD" w:rsidRPr="00AA14D5" w:rsidRDefault="009C76FD" w:rsidP="000E3FA7">
            <w:pPr>
              <w:pStyle w:val="ListParagraph"/>
              <w:numPr>
                <w:ilvl w:val="0"/>
                <w:numId w:val="28"/>
              </w:numPr>
              <w:ind w:left="252" w:hanging="252"/>
            </w:pPr>
            <w:r>
              <w:t>A response to whether or not a Transnational Referral was made should be entered only when a move outside the U.S. is specified</w:t>
            </w:r>
          </w:p>
        </w:tc>
      </w:tr>
      <w:tr w:rsidR="009C76FD" w:rsidTr="009C76FD">
        <w:trPr>
          <w:cantSplit/>
          <w:trHeight w:val="1134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43</w:t>
            </w:r>
          </w:p>
          <w:p w:rsidR="009C76FD" w:rsidRPr="003531AB" w:rsidRDefault="009C76FD" w:rsidP="00726505"/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Date Therapy Stopped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0E3FA7" w:rsidRDefault="009C76FD" w:rsidP="000E3FA7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b/>
              </w:rPr>
            </w:pPr>
            <w:r>
              <w:t>Date Therapy Stopped is entered only when Date Therapy Started is entered</w:t>
            </w:r>
          </w:p>
          <w:p w:rsidR="009C76FD" w:rsidRPr="000E3FA7" w:rsidRDefault="009C76FD" w:rsidP="000E3FA7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b/>
              </w:rPr>
            </w:pPr>
            <w:r>
              <w:t>Date Therapy Stopped should be entered only when patient is Alive at Diagnosis and on one or more anti-TB drugs</w:t>
            </w:r>
          </w:p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44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Reason Therapy Stopped or Never Started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BD267D" w:rsidRDefault="009C76FD" w:rsidP="006A2A60">
            <w:r w:rsidRPr="00BD267D">
              <w:t>Cause of Death should only be entered when Reason Therapy Stopped is entered as “Died”</w:t>
            </w:r>
          </w:p>
        </w:tc>
      </w:tr>
      <w:tr w:rsidR="009C76FD" w:rsidTr="009C76FD">
        <w:trPr>
          <w:cantSplit/>
          <w:trHeight w:val="302"/>
        </w:trPr>
        <w:tc>
          <w:tcPr>
            <w:tcW w:w="648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8B6EAB">
            <w:pPr>
              <w:rPr>
                <w:b/>
              </w:rPr>
            </w:pPr>
            <w:r w:rsidRPr="003531AB">
              <w:rPr>
                <w:b/>
              </w:rPr>
              <w:t>45</w:t>
            </w:r>
          </w:p>
        </w:tc>
        <w:tc>
          <w:tcPr>
            <w:tcW w:w="2610" w:type="dxa"/>
            <w:tcBorders>
              <w:top w:val="single" w:sz="18" w:space="0" w:color="auto"/>
              <w:bottom w:val="dashed" w:sz="4" w:space="0" w:color="auto"/>
            </w:tcBorders>
          </w:tcPr>
          <w:p w:rsidR="009C76FD" w:rsidRPr="003531AB" w:rsidRDefault="009C76FD" w:rsidP="008B6EAB">
            <w:pPr>
              <w:rPr>
                <w:b/>
              </w:rPr>
            </w:pPr>
            <w:r w:rsidRPr="003531AB">
              <w:rPr>
                <w:b/>
              </w:rPr>
              <w:t>Reas</w:t>
            </w:r>
            <w:r>
              <w:rPr>
                <w:b/>
              </w:rPr>
              <w:t>on Therapy Extended &gt; 12 Months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</w:tcBorders>
          </w:tcPr>
          <w:p w:rsidR="009C76FD" w:rsidRPr="00F971AA" w:rsidRDefault="009C76FD" w:rsidP="00F971AA">
            <w:r w:rsidRPr="00F971AA">
              <w:t xml:space="preserve">A </w:t>
            </w:r>
            <w:r>
              <w:t xml:space="preserve">response to any of the </w:t>
            </w:r>
            <w:r w:rsidRPr="00F971AA">
              <w:t>Reason</w:t>
            </w:r>
            <w:r>
              <w:t>s</w:t>
            </w:r>
            <w:r w:rsidRPr="00F971AA">
              <w:t xml:space="preserve"> Therapy Extended &gt; 12 Months should only be entered when the duration of therapy is more than one year </w:t>
            </w:r>
          </w:p>
        </w:tc>
      </w:tr>
      <w:tr w:rsidR="009C76FD" w:rsidTr="009C76FD">
        <w:trPr>
          <w:cantSplit/>
          <w:trHeight w:val="300"/>
        </w:trPr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36</w:t>
            </w: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9C76FD" w:rsidRPr="003531AB" w:rsidRDefault="009C76FD" w:rsidP="003B43DD">
            <w:pPr>
              <w:rPr>
                <w:b/>
              </w:rPr>
            </w:pPr>
            <w:r>
              <w:rPr>
                <w:b/>
              </w:rPr>
              <w:t>Date Therapy Started</w:t>
            </w:r>
          </w:p>
        </w:tc>
        <w:tc>
          <w:tcPr>
            <w:tcW w:w="6318" w:type="dxa"/>
            <w:vMerge/>
          </w:tcPr>
          <w:p w:rsidR="009C76FD" w:rsidRPr="00F971AA" w:rsidRDefault="009C76FD" w:rsidP="00F971AA"/>
        </w:tc>
      </w:tr>
      <w:tr w:rsidR="009C76FD" w:rsidTr="009C76FD">
        <w:trPr>
          <w:cantSplit/>
          <w:trHeight w:val="300"/>
        </w:trPr>
        <w:tc>
          <w:tcPr>
            <w:tcW w:w="648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43</w:t>
            </w:r>
          </w:p>
        </w:tc>
        <w:tc>
          <w:tcPr>
            <w:tcW w:w="2610" w:type="dxa"/>
            <w:tcBorders>
              <w:top w:val="dashed" w:sz="4" w:space="0" w:color="auto"/>
              <w:bottom w:val="single" w:sz="18" w:space="0" w:color="auto"/>
            </w:tcBorders>
          </w:tcPr>
          <w:p w:rsidR="009C76FD" w:rsidRPr="003531AB" w:rsidRDefault="009C76FD" w:rsidP="003B43DD">
            <w:pPr>
              <w:rPr>
                <w:b/>
              </w:rPr>
            </w:pPr>
            <w:r w:rsidRPr="003531AB">
              <w:rPr>
                <w:b/>
              </w:rPr>
              <w:t>Date Therapy Stopped</w:t>
            </w:r>
          </w:p>
        </w:tc>
        <w:tc>
          <w:tcPr>
            <w:tcW w:w="6318" w:type="dxa"/>
            <w:vMerge/>
            <w:tcBorders>
              <w:bottom w:val="single" w:sz="18" w:space="0" w:color="auto"/>
            </w:tcBorders>
          </w:tcPr>
          <w:p w:rsidR="009C76FD" w:rsidRPr="00F971AA" w:rsidRDefault="009C76FD" w:rsidP="00F971AA"/>
        </w:tc>
      </w:tr>
      <w:tr w:rsidR="009C76FD" w:rsidTr="009C76FD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46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Type of Outpatient Health Care Provider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F971AA" w:rsidRDefault="009C76FD" w:rsidP="00F971AA">
            <w:r w:rsidRPr="00F971AA">
              <w:t>No additional response should be given to Type of Outpatient Health Care Provider if response is Inpatient Care Only</w:t>
            </w:r>
          </w:p>
        </w:tc>
      </w:tr>
      <w:tr w:rsidR="009C76FD" w:rsidTr="009C76FD">
        <w:trPr>
          <w:cantSplit/>
          <w:trHeight w:val="1191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47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Directly Observed Therapy (DOT)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F971AA" w:rsidRDefault="009C76FD" w:rsidP="00B36B87">
            <w:pPr>
              <w:pStyle w:val="ListParagraph"/>
              <w:numPr>
                <w:ilvl w:val="0"/>
                <w:numId w:val="26"/>
              </w:numPr>
              <w:ind w:left="252" w:hanging="252"/>
            </w:pPr>
            <w:r w:rsidRPr="00F971AA">
              <w:t xml:space="preserve">Directly Observed Therapy </w:t>
            </w:r>
            <w:r>
              <w:t xml:space="preserve">should </w:t>
            </w:r>
            <w:r w:rsidRPr="00F971AA">
              <w:t xml:space="preserve">only </w:t>
            </w:r>
            <w:r>
              <w:t>be entered when</w:t>
            </w:r>
            <w:r w:rsidRPr="00F971AA">
              <w:t xml:space="preserve"> patient is Alive at Diagnosis and on one or more anti-TB drugs</w:t>
            </w:r>
          </w:p>
          <w:p w:rsidR="009C76FD" w:rsidRPr="00F971AA" w:rsidRDefault="009C76FD" w:rsidP="00D23609">
            <w:pPr>
              <w:pStyle w:val="ListParagraph"/>
              <w:numPr>
                <w:ilvl w:val="0"/>
                <w:numId w:val="26"/>
              </w:numPr>
              <w:ind w:left="252" w:hanging="252"/>
            </w:pPr>
            <w:r>
              <w:t>DOT Weeks should only be entered when the patient is on DOT Only or Both DOT and Self-Administered</w:t>
            </w:r>
          </w:p>
        </w:tc>
      </w:tr>
      <w:tr w:rsidR="009C76FD" w:rsidTr="009C76FD">
        <w:trPr>
          <w:cantSplit/>
          <w:trHeight w:val="2228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lastRenderedPageBreak/>
              <w:t>48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Final Drug Susceptibility Testing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B36B87" w:rsidRDefault="009C76FD" w:rsidP="00B36B87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b/>
              </w:rPr>
            </w:pPr>
            <w:r w:rsidRPr="00D23609">
              <w:t>Final Susceptibility Testing should only be entered when</w:t>
            </w:r>
            <w:r w:rsidRPr="00B36B87">
              <w:rPr>
                <w:b/>
              </w:rPr>
              <w:t xml:space="preserve"> </w:t>
            </w:r>
            <w:r w:rsidRPr="00F971AA">
              <w:t>patient is Alive at Diagnosis and on one or more anti-TB drugs</w:t>
            </w:r>
            <w:r w:rsidRPr="00B36B87">
              <w:rPr>
                <w:b/>
              </w:rPr>
              <w:t xml:space="preserve">  </w:t>
            </w:r>
          </w:p>
          <w:p w:rsidR="009C76FD" w:rsidRPr="00D23609" w:rsidRDefault="009C76FD" w:rsidP="00B36B87">
            <w:pPr>
              <w:pStyle w:val="ListParagraph"/>
              <w:numPr>
                <w:ilvl w:val="0"/>
                <w:numId w:val="25"/>
              </w:numPr>
              <w:ind w:left="252" w:hanging="252"/>
            </w:pPr>
            <w:r>
              <w:t>Final Susceptibility Test Date should only be entered when Final Susceptibility Testing is entered as “Y”</w:t>
            </w:r>
          </w:p>
          <w:p w:rsidR="009C76FD" w:rsidRDefault="009C76FD" w:rsidP="00B36B87">
            <w:pPr>
              <w:pStyle w:val="ListParagraph"/>
              <w:numPr>
                <w:ilvl w:val="0"/>
                <w:numId w:val="25"/>
              </w:numPr>
              <w:ind w:left="252" w:hanging="252"/>
            </w:pPr>
            <w:r>
              <w:t>Review Final Susceptibility Test Date to eliminate illogical entries</w:t>
            </w:r>
          </w:p>
          <w:p w:rsidR="009C76FD" w:rsidRPr="00B36B87" w:rsidRDefault="009C76FD" w:rsidP="00B36B87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b/>
              </w:rPr>
            </w:pPr>
            <w:r>
              <w:t xml:space="preserve">Final Susceptibility Specimen Type of sputum or an anatomic code should only be entered when </w:t>
            </w:r>
            <w:r w:rsidRPr="009915D8">
              <w:t>Final Susceptibility Testing is entered as “Y”</w:t>
            </w:r>
            <w:r>
              <w:t xml:space="preserve"> </w:t>
            </w:r>
          </w:p>
        </w:tc>
      </w:tr>
      <w:tr w:rsidR="009C76FD" w:rsidTr="009C76FD">
        <w:trPr>
          <w:cantSplit/>
          <w:trHeight w:val="1134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FB187A">
            <w:pPr>
              <w:rPr>
                <w:b/>
              </w:rPr>
            </w:pPr>
            <w:r w:rsidRPr="003531AB">
              <w:rPr>
                <w:b/>
              </w:rPr>
              <w:t>49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3531AB" w:rsidRDefault="009C76FD" w:rsidP="00674883">
            <w:pPr>
              <w:rPr>
                <w:b/>
              </w:rPr>
            </w:pPr>
            <w:r w:rsidRPr="003531AB">
              <w:rPr>
                <w:b/>
              </w:rPr>
              <w:t>Final Drug Susceptibility Results</w:t>
            </w:r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</w:tcBorders>
          </w:tcPr>
          <w:p w:rsidR="009C76FD" w:rsidRPr="00481846" w:rsidRDefault="009C76FD" w:rsidP="00B36B87">
            <w:pPr>
              <w:pStyle w:val="ListParagraph"/>
              <w:numPr>
                <w:ilvl w:val="0"/>
                <w:numId w:val="24"/>
              </w:numPr>
              <w:ind w:left="252" w:hanging="252"/>
            </w:pPr>
            <w:r w:rsidRPr="00481846">
              <w:t xml:space="preserve">A response should be entered for each drug for Initial Susceptibility Testing </w:t>
            </w:r>
          </w:p>
          <w:p w:rsidR="009C76FD" w:rsidRPr="00481846" w:rsidRDefault="009C76FD" w:rsidP="00B36B87">
            <w:pPr>
              <w:pStyle w:val="ListParagraph"/>
              <w:numPr>
                <w:ilvl w:val="0"/>
                <w:numId w:val="24"/>
              </w:numPr>
              <w:ind w:left="252" w:hanging="252"/>
            </w:pPr>
            <w:r w:rsidRPr="00481846">
              <w:t>A response for “Other: Specify” should only be entered when a response to “Other” drug has been entered</w:t>
            </w:r>
          </w:p>
        </w:tc>
      </w:tr>
    </w:tbl>
    <w:p w:rsidR="00502DE2" w:rsidRDefault="00502DE2" w:rsidP="00463728">
      <w:pPr>
        <w:spacing w:after="0"/>
      </w:pPr>
    </w:p>
    <w:p w:rsidR="00502DE2" w:rsidRDefault="00502DE2" w:rsidP="00463728">
      <w:pPr>
        <w:spacing w:after="0"/>
      </w:pPr>
    </w:p>
    <w:p w:rsidR="00502DE2" w:rsidRDefault="00502DE2" w:rsidP="00463728">
      <w:pPr>
        <w:spacing w:after="0"/>
      </w:pPr>
    </w:p>
    <w:p w:rsidR="00502DE2" w:rsidRPr="00DA6959" w:rsidRDefault="00502DE2" w:rsidP="00502DE2">
      <w:pPr>
        <w:spacing w:after="0"/>
        <w:jc w:val="center"/>
        <w:rPr>
          <w:b/>
          <w:sz w:val="28"/>
          <w:szCs w:val="28"/>
        </w:rPr>
      </w:pPr>
      <w:r w:rsidRPr="00DA6959">
        <w:rPr>
          <w:b/>
          <w:sz w:val="28"/>
          <w:szCs w:val="28"/>
        </w:rPr>
        <w:t>Date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6768"/>
      </w:tblGrid>
      <w:tr w:rsidR="005E7819" w:rsidRPr="00463728" w:rsidTr="00776741">
        <w:trPr>
          <w:cantSplit/>
        </w:trPr>
        <w:tc>
          <w:tcPr>
            <w:tcW w:w="2808" w:type="dxa"/>
            <w:gridSpan w:val="2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5E7819" w:rsidRPr="00E30A73" w:rsidRDefault="005E7819" w:rsidP="00B36B87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768" w:type="dxa"/>
            <w:vMerge w:val="restart"/>
            <w:tcBorders>
              <w:top w:val="single" w:sz="18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5E7819" w:rsidRDefault="005E7819" w:rsidP="006D026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Check for Accuracy</w:t>
            </w:r>
          </w:p>
        </w:tc>
      </w:tr>
      <w:tr w:rsidR="005E7819" w:rsidRPr="00463728" w:rsidTr="00EF0E29">
        <w:trPr>
          <w:cantSplit/>
        </w:trPr>
        <w:tc>
          <w:tcPr>
            <w:tcW w:w="648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5E7819" w:rsidRDefault="005E7819" w:rsidP="00B36B8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5E7819" w:rsidRPr="00E30A73" w:rsidRDefault="005E7819" w:rsidP="00B36B8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68" w:type="dxa"/>
            <w:vMerge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5E7819" w:rsidRDefault="005E7819" w:rsidP="00F13940">
            <w:pPr>
              <w:autoSpaceDE w:val="0"/>
              <w:autoSpaceDN w:val="0"/>
              <w:adjustRightInd w:val="0"/>
            </w:pPr>
          </w:p>
        </w:tc>
      </w:tr>
      <w:tr w:rsidR="005E7819" w:rsidRPr="00463728" w:rsidTr="00EF0E29">
        <w:trPr>
          <w:cantSplit/>
        </w:trPr>
        <w:tc>
          <w:tcPr>
            <w:tcW w:w="648" w:type="dxa"/>
            <w:tcBorders>
              <w:top w:val="single" w:sz="24" w:space="0" w:color="auto"/>
              <w:bottom w:val="single" w:sz="18" w:space="0" w:color="auto"/>
            </w:tcBorders>
          </w:tcPr>
          <w:p w:rsidR="005E7819" w:rsidRPr="00E30A73" w:rsidRDefault="005E7819" w:rsidP="00F1394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18" w:space="0" w:color="auto"/>
            </w:tcBorders>
          </w:tcPr>
          <w:p w:rsidR="005E7819" w:rsidRPr="00CC36EF" w:rsidRDefault="005E7819" w:rsidP="00F13940">
            <w:pPr>
              <w:rPr>
                <w:b/>
              </w:rPr>
            </w:pPr>
            <w:r w:rsidRPr="00E30A73">
              <w:rPr>
                <w:b/>
              </w:rPr>
              <w:t>Sputum Culture</w:t>
            </w:r>
          </w:p>
        </w:tc>
        <w:tc>
          <w:tcPr>
            <w:tcW w:w="6768" w:type="dxa"/>
            <w:tcBorders>
              <w:top w:val="single" w:sz="24" w:space="0" w:color="auto"/>
              <w:bottom w:val="single" w:sz="18" w:space="0" w:color="auto"/>
            </w:tcBorders>
          </w:tcPr>
          <w:p w:rsidR="005E7819" w:rsidRPr="00463728" w:rsidRDefault="005E7819" w:rsidP="00F139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Sputum culture reporting date is prior sputum culture collection date</w:t>
            </w:r>
          </w:p>
        </w:tc>
      </w:tr>
      <w:tr w:rsidR="005E7819" w:rsidRPr="00463728" w:rsidTr="00EF0E29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5E7819" w:rsidRPr="00E30A73" w:rsidRDefault="005E7819" w:rsidP="00F1394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E7819" w:rsidRPr="00CC36EF" w:rsidRDefault="005E7819" w:rsidP="00F13940">
            <w:pPr>
              <w:rPr>
                <w:b/>
              </w:rPr>
            </w:pPr>
            <w:r w:rsidRPr="00E30A73">
              <w:rPr>
                <w:b/>
              </w:rPr>
              <w:t>Culture of Tissue and Other Body Fluids</w:t>
            </w:r>
          </w:p>
        </w:tc>
        <w:tc>
          <w:tcPr>
            <w:tcW w:w="6768" w:type="dxa"/>
            <w:tcBorders>
              <w:top w:val="single" w:sz="18" w:space="0" w:color="auto"/>
              <w:bottom w:val="single" w:sz="18" w:space="0" w:color="auto"/>
            </w:tcBorders>
          </w:tcPr>
          <w:p w:rsidR="005E7819" w:rsidRPr="00463728" w:rsidRDefault="005E7819" w:rsidP="00F139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Culture of tissue and other fluids reporting date is prior culture of tissue and other fluids collection 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E7819" w:rsidRPr="00463728" w:rsidTr="00EF0E29">
        <w:trPr>
          <w:cantSplit/>
        </w:trPr>
        <w:tc>
          <w:tcPr>
            <w:tcW w:w="648" w:type="dxa"/>
            <w:tcBorders>
              <w:top w:val="single" w:sz="18" w:space="0" w:color="auto"/>
              <w:bottom w:val="single" w:sz="24" w:space="0" w:color="auto"/>
            </w:tcBorders>
          </w:tcPr>
          <w:p w:rsidR="005E7819" w:rsidRPr="00E30A73" w:rsidRDefault="005E7819" w:rsidP="00F1394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4" w:space="0" w:color="auto"/>
            </w:tcBorders>
          </w:tcPr>
          <w:p w:rsidR="005E7819" w:rsidRPr="00CC36EF" w:rsidRDefault="005E7819" w:rsidP="00F13940">
            <w:pPr>
              <w:rPr>
                <w:b/>
              </w:rPr>
            </w:pPr>
            <w:r w:rsidRPr="00E30A73">
              <w:rPr>
                <w:b/>
              </w:rPr>
              <w:t>Nucleic Acid Amplification Test Result</w:t>
            </w:r>
          </w:p>
        </w:tc>
        <w:tc>
          <w:tcPr>
            <w:tcW w:w="6768" w:type="dxa"/>
            <w:tcBorders>
              <w:top w:val="single" w:sz="18" w:space="0" w:color="auto"/>
              <w:bottom w:val="single" w:sz="24" w:space="0" w:color="auto"/>
            </w:tcBorders>
          </w:tcPr>
          <w:p w:rsidR="005E7819" w:rsidRPr="00463728" w:rsidRDefault="005E7819" w:rsidP="00F139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NAA test reporting date is prior NAA test collection date</w:t>
            </w:r>
          </w:p>
        </w:tc>
      </w:tr>
      <w:tr w:rsidR="00B464C0" w:rsidRPr="00463728" w:rsidTr="003531AB">
        <w:trPr>
          <w:cantSplit/>
          <w:trHeight w:val="451"/>
        </w:trPr>
        <w:tc>
          <w:tcPr>
            <w:tcW w:w="648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Default="00B464C0" w:rsidP="00F13940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B464C0" w:rsidRPr="00E30A73" w:rsidRDefault="00B464C0" w:rsidP="00F13940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Pr="00CC36EF" w:rsidRDefault="00B464C0" w:rsidP="00F13940">
            <w:pPr>
              <w:rPr>
                <w:b/>
              </w:rPr>
            </w:pPr>
            <w:r w:rsidRPr="00E30A73">
              <w:rPr>
                <w:b/>
              </w:rPr>
              <w:t>Date Therapy Started</w:t>
            </w:r>
          </w:p>
        </w:tc>
        <w:tc>
          <w:tcPr>
            <w:tcW w:w="6768" w:type="dxa"/>
            <w:vMerge w:val="restart"/>
            <w:tcBorders>
              <w:top w:val="single" w:sz="24" w:space="0" w:color="auto"/>
            </w:tcBorders>
          </w:tcPr>
          <w:p w:rsidR="00B464C0" w:rsidRPr="00463728" w:rsidRDefault="00B464C0" w:rsidP="00F139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Date therapy stopped is prior date therapy started</w:t>
            </w:r>
          </w:p>
        </w:tc>
      </w:tr>
      <w:tr w:rsidR="00B464C0" w:rsidRPr="00463728" w:rsidTr="003531AB">
        <w:trPr>
          <w:cantSplit/>
          <w:trHeight w:val="451"/>
        </w:trPr>
        <w:tc>
          <w:tcPr>
            <w:tcW w:w="648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Default="00B464C0" w:rsidP="00F1394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Pr="00E30A73" w:rsidRDefault="00B464C0" w:rsidP="00F13940">
            <w:pPr>
              <w:rPr>
                <w:b/>
              </w:rPr>
            </w:pPr>
            <w:r w:rsidRPr="002B65F8">
              <w:rPr>
                <w:b/>
              </w:rPr>
              <w:t>Date Therapy Stopped</w:t>
            </w:r>
          </w:p>
        </w:tc>
        <w:tc>
          <w:tcPr>
            <w:tcW w:w="6768" w:type="dxa"/>
            <w:vMerge/>
            <w:tcBorders>
              <w:bottom w:val="single" w:sz="24" w:space="0" w:color="auto"/>
            </w:tcBorders>
          </w:tcPr>
          <w:p w:rsidR="00B464C0" w:rsidRDefault="00B464C0" w:rsidP="00F13940">
            <w:pPr>
              <w:autoSpaceDE w:val="0"/>
              <w:autoSpaceDN w:val="0"/>
              <w:adjustRightInd w:val="0"/>
            </w:pPr>
          </w:p>
        </w:tc>
      </w:tr>
      <w:tr w:rsidR="00B464C0" w:rsidRPr="00463728" w:rsidTr="003531AB">
        <w:trPr>
          <w:cantSplit/>
          <w:trHeight w:val="451"/>
        </w:trPr>
        <w:tc>
          <w:tcPr>
            <w:tcW w:w="648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Pr="00E30A73" w:rsidRDefault="00B464C0" w:rsidP="00F1394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60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Pr="00CC36EF" w:rsidRDefault="00B464C0" w:rsidP="00F13940">
            <w:pPr>
              <w:rPr>
                <w:b/>
              </w:rPr>
            </w:pPr>
            <w:r w:rsidRPr="00E30A73">
              <w:rPr>
                <w:b/>
              </w:rPr>
              <w:t>Initial Drug Susceptibility Testing</w:t>
            </w:r>
          </w:p>
        </w:tc>
        <w:tc>
          <w:tcPr>
            <w:tcW w:w="6768" w:type="dxa"/>
            <w:vMerge w:val="restart"/>
            <w:tcBorders>
              <w:top w:val="single" w:sz="24" w:space="0" w:color="auto"/>
            </w:tcBorders>
          </w:tcPr>
          <w:p w:rsidR="00B464C0" w:rsidRPr="00463728" w:rsidRDefault="00B464C0" w:rsidP="00F13940">
            <w:pPr>
              <w:rPr>
                <w:rFonts w:cs="Times New Roman"/>
              </w:rPr>
            </w:pPr>
            <w:r>
              <w:t>Date of final susceptibility testing is prior date of initial susceptibility testing</w:t>
            </w:r>
          </w:p>
        </w:tc>
      </w:tr>
      <w:tr w:rsidR="00B464C0" w:rsidRPr="00463728" w:rsidTr="00EF0E29">
        <w:trPr>
          <w:cantSplit/>
          <w:trHeight w:val="451"/>
        </w:trPr>
        <w:tc>
          <w:tcPr>
            <w:tcW w:w="648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Default="00B464C0" w:rsidP="00F1394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Pr="00E30A73" w:rsidRDefault="00B464C0" w:rsidP="00F13940">
            <w:pPr>
              <w:rPr>
                <w:b/>
              </w:rPr>
            </w:pPr>
            <w:r w:rsidRPr="002B65F8">
              <w:rPr>
                <w:b/>
              </w:rPr>
              <w:t>Final Drug Susceptibility Testing</w:t>
            </w:r>
          </w:p>
        </w:tc>
        <w:tc>
          <w:tcPr>
            <w:tcW w:w="6768" w:type="dxa"/>
            <w:vMerge/>
            <w:tcBorders>
              <w:bottom w:val="single" w:sz="24" w:space="0" w:color="auto"/>
            </w:tcBorders>
          </w:tcPr>
          <w:p w:rsidR="00B464C0" w:rsidRDefault="00B464C0" w:rsidP="00F13940"/>
        </w:tc>
      </w:tr>
      <w:tr w:rsidR="00B464C0" w:rsidTr="003531AB">
        <w:trPr>
          <w:cantSplit/>
          <w:trHeight w:val="332"/>
        </w:trPr>
        <w:tc>
          <w:tcPr>
            <w:tcW w:w="648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Pr="00E30A73" w:rsidRDefault="00B464C0" w:rsidP="00F1394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  <w:tcBorders>
              <w:top w:val="single" w:sz="24" w:space="0" w:color="auto"/>
              <w:bottom w:val="dashed" w:sz="4" w:space="0" w:color="auto"/>
            </w:tcBorders>
          </w:tcPr>
          <w:p w:rsidR="00B464C0" w:rsidRPr="00CC36EF" w:rsidRDefault="00B464C0" w:rsidP="00F13940">
            <w:pPr>
              <w:rPr>
                <w:b/>
              </w:rPr>
            </w:pPr>
            <w:r w:rsidRPr="00E30A73">
              <w:rPr>
                <w:b/>
              </w:rPr>
              <w:t>Sputum Culture</w:t>
            </w:r>
          </w:p>
        </w:tc>
        <w:tc>
          <w:tcPr>
            <w:tcW w:w="6768" w:type="dxa"/>
            <w:vMerge w:val="restart"/>
            <w:tcBorders>
              <w:top w:val="single" w:sz="24" w:space="0" w:color="auto"/>
            </w:tcBorders>
          </w:tcPr>
          <w:p w:rsidR="00B464C0" w:rsidRDefault="00B464C0" w:rsidP="00F13940">
            <w:r>
              <w:t>Date of first consistently negative sputum culture is prior date of first positive sputum culture</w:t>
            </w:r>
          </w:p>
        </w:tc>
      </w:tr>
      <w:tr w:rsidR="00B464C0" w:rsidTr="00EF0E29">
        <w:trPr>
          <w:cantSplit/>
          <w:trHeight w:val="451"/>
        </w:trPr>
        <w:tc>
          <w:tcPr>
            <w:tcW w:w="648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Default="00B464C0" w:rsidP="00F13940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24" w:space="0" w:color="auto"/>
            </w:tcBorders>
          </w:tcPr>
          <w:p w:rsidR="00B464C0" w:rsidRPr="00E30A73" w:rsidRDefault="00B464C0" w:rsidP="00F13940">
            <w:pPr>
              <w:rPr>
                <w:b/>
              </w:rPr>
            </w:pPr>
            <w:r w:rsidRPr="002B65F8">
              <w:rPr>
                <w:b/>
              </w:rPr>
              <w:t>Sputum Culture Conversion Documented</w:t>
            </w:r>
          </w:p>
        </w:tc>
        <w:tc>
          <w:tcPr>
            <w:tcW w:w="6768" w:type="dxa"/>
            <w:vMerge/>
            <w:tcBorders>
              <w:bottom w:val="single" w:sz="24" w:space="0" w:color="auto"/>
            </w:tcBorders>
          </w:tcPr>
          <w:p w:rsidR="00B464C0" w:rsidRDefault="00B464C0" w:rsidP="00F13940"/>
        </w:tc>
      </w:tr>
    </w:tbl>
    <w:p w:rsidR="005B636C" w:rsidRDefault="006F2A5B" w:rsidP="00463728">
      <w:pPr>
        <w:spacing w:after="0"/>
      </w:pPr>
      <w:r>
        <w:tab/>
      </w:r>
    </w:p>
    <w:p w:rsidR="00B36B87" w:rsidRDefault="00B36B87">
      <w:pPr>
        <w:rPr>
          <w:b/>
        </w:rPr>
      </w:pPr>
      <w:r>
        <w:rPr>
          <w:b/>
        </w:rPr>
        <w:br w:type="page"/>
      </w:r>
    </w:p>
    <w:p w:rsidR="008D269D" w:rsidRPr="005B636C" w:rsidRDefault="008D269D" w:rsidP="00EB41C4">
      <w:pPr>
        <w:spacing w:after="0"/>
        <w:rPr>
          <w:b/>
        </w:rPr>
      </w:pPr>
      <w:r w:rsidRPr="005B636C">
        <w:rPr>
          <w:b/>
        </w:rPr>
        <w:lastRenderedPageBreak/>
        <w:t>Impact of data collection changes:</w:t>
      </w:r>
    </w:p>
    <w:p w:rsidR="00EB41C4" w:rsidRDefault="004E2C7B" w:rsidP="00EB41C4">
      <w:pPr>
        <w:pStyle w:val="ListParagraph"/>
        <w:numPr>
          <w:ilvl w:val="0"/>
          <w:numId w:val="2"/>
        </w:numPr>
        <w:spacing w:after="0"/>
      </w:pPr>
      <w:r>
        <w:t>Data under revised RVCT collected under different co</w:t>
      </w:r>
      <w:r w:rsidR="00EB41C4">
        <w:t xml:space="preserve">nditions (anatomic codes for </w:t>
      </w:r>
      <w:r>
        <w:t>diagnostic tests available for positive and negative test results)</w:t>
      </w:r>
    </w:p>
    <w:p w:rsidR="00EB41C4" w:rsidRDefault="004E2C7B" w:rsidP="00EB41C4">
      <w:pPr>
        <w:pStyle w:val="ListParagraph"/>
        <w:numPr>
          <w:ilvl w:val="0"/>
          <w:numId w:val="2"/>
        </w:numPr>
        <w:spacing w:after="0"/>
      </w:pPr>
      <w:r>
        <w:t>Data collected under TIMS is not collected in the same w</w:t>
      </w:r>
      <w:r w:rsidR="00EB41C4">
        <w:t>ay under some state</w:t>
      </w:r>
      <w:r w:rsidR="00502DE2">
        <w:t>-</w:t>
      </w:r>
      <w:r w:rsidR="00EB41C4">
        <w:t xml:space="preserve">developed </w:t>
      </w:r>
      <w:r>
        <w:t>systems (</w:t>
      </w:r>
      <w:r w:rsidR="006D3B0B">
        <w:t>Country of Birth</w:t>
      </w:r>
      <w:r>
        <w:t xml:space="preserve"> code and U</w:t>
      </w:r>
      <w:r w:rsidR="006D3B0B">
        <w:t>.</w:t>
      </w:r>
      <w:r>
        <w:t>S</w:t>
      </w:r>
      <w:r w:rsidR="006D3B0B">
        <w:t>.-born</w:t>
      </w:r>
      <w:r>
        <w:t xml:space="preserve">: </w:t>
      </w:r>
      <w:r w:rsidR="006D3B0B">
        <w:t>“</w:t>
      </w:r>
      <w:r>
        <w:t>Y</w:t>
      </w:r>
      <w:r w:rsidR="006D3B0B">
        <w:t>es” “</w:t>
      </w:r>
      <w:r>
        <w:t>N</w:t>
      </w:r>
      <w:r w:rsidR="006D3B0B">
        <w:t>o”</w:t>
      </w:r>
      <w:r>
        <w:t>)</w:t>
      </w:r>
    </w:p>
    <w:p w:rsidR="004E2C7B" w:rsidRDefault="004E2C7B" w:rsidP="00EB41C4">
      <w:pPr>
        <w:pStyle w:val="ListParagraph"/>
        <w:numPr>
          <w:ilvl w:val="0"/>
          <w:numId w:val="2"/>
        </w:numPr>
        <w:spacing w:after="0"/>
      </w:pPr>
      <w:r>
        <w:t>No provision made for NAA test in verification criteria resulting in no valid V</w:t>
      </w:r>
      <w:r w:rsidR="006D3B0B">
        <w:t>erification Criteria</w:t>
      </w:r>
    </w:p>
    <w:p w:rsidR="004E2C7B" w:rsidRDefault="004E2C7B" w:rsidP="00EB41C4">
      <w:pPr>
        <w:pStyle w:val="ListParagraph"/>
        <w:numPr>
          <w:ilvl w:val="0"/>
          <w:numId w:val="2"/>
        </w:numPr>
        <w:spacing w:after="0"/>
      </w:pPr>
      <w:r>
        <w:t xml:space="preserve">Difficulty in obtaining lab </w:t>
      </w:r>
      <w:r w:rsidR="00833363">
        <w:t xml:space="preserve">data </w:t>
      </w:r>
      <w:r>
        <w:t xml:space="preserve">resulting in no valid </w:t>
      </w:r>
      <w:r w:rsidR="006D3B0B">
        <w:t>Verification Criteria</w:t>
      </w:r>
    </w:p>
    <w:p w:rsidR="004E2C7B" w:rsidRDefault="004E2C7B" w:rsidP="00EB41C4">
      <w:pPr>
        <w:pStyle w:val="ListParagraph"/>
        <w:numPr>
          <w:ilvl w:val="0"/>
          <w:numId w:val="2"/>
        </w:numPr>
        <w:spacing w:after="0"/>
      </w:pPr>
      <w:r>
        <w:t xml:space="preserve">Changes in structure of </w:t>
      </w:r>
      <w:r w:rsidR="006D3B0B">
        <w:t xml:space="preserve">a states’ </w:t>
      </w:r>
      <w:r>
        <w:t xml:space="preserve">HL7 message </w:t>
      </w:r>
      <w:r w:rsidR="006D3B0B">
        <w:t xml:space="preserve">can </w:t>
      </w:r>
      <w:r>
        <w:t xml:space="preserve">result in data </w:t>
      </w:r>
      <w:r w:rsidR="006D3B0B">
        <w:t>loss</w:t>
      </w:r>
      <w:r>
        <w:t xml:space="preserve">  </w:t>
      </w:r>
    </w:p>
    <w:p w:rsidR="008D269D" w:rsidRDefault="00E34215" w:rsidP="00EB41C4">
      <w:pPr>
        <w:pStyle w:val="ListParagraph"/>
        <w:numPr>
          <w:ilvl w:val="0"/>
          <w:numId w:val="2"/>
        </w:numPr>
        <w:spacing w:after="0"/>
      </w:pPr>
      <w:r>
        <w:t>Some reporting areas not collecting C</w:t>
      </w:r>
      <w:r w:rsidR="006D3B0B">
        <w:t xml:space="preserve">ity </w:t>
      </w:r>
      <w:r>
        <w:t>L</w:t>
      </w:r>
      <w:r w:rsidR="006D3B0B">
        <w:t xml:space="preserve">imits </w:t>
      </w:r>
      <w:r>
        <w:t>information so</w:t>
      </w:r>
      <w:r w:rsidR="00EB41C4">
        <w:t xml:space="preserve"> must allow blank in </w:t>
      </w:r>
      <w:r w:rsidR="006D3B0B">
        <w:t xml:space="preserve">City Limits </w:t>
      </w:r>
      <w:r>
        <w:t>fields to obtain city data (</w:t>
      </w:r>
      <w:r w:rsidR="006D3B0B">
        <w:t>“</w:t>
      </w:r>
      <w:r>
        <w:t>Y</w:t>
      </w:r>
      <w:r w:rsidR="006D3B0B">
        <w:t>es”</w:t>
      </w:r>
      <w:r>
        <w:t xml:space="preserve"> and </w:t>
      </w:r>
      <w:r w:rsidR="006D3B0B">
        <w:t>“</w:t>
      </w:r>
      <w:r>
        <w:t>U</w:t>
      </w:r>
      <w:r w:rsidR="006D3B0B">
        <w:t>nknown”</w:t>
      </w:r>
      <w:r>
        <w:t xml:space="preserve"> not sufficient)</w:t>
      </w:r>
    </w:p>
    <w:p w:rsidR="006A2A60" w:rsidRDefault="006A2A60" w:rsidP="006A2A60">
      <w:pPr>
        <w:spacing w:after="0"/>
      </w:pPr>
    </w:p>
    <w:p w:rsidR="008D269D" w:rsidRPr="00204A03" w:rsidRDefault="008D269D" w:rsidP="00EB41C4">
      <w:pPr>
        <w:spacing w:after="0"/>
        <w:rPr>
          <w:b/>
        </w:rPr>
      </w:pPr>
      <w:r w:rsidRPr="00204A03">
        <w:rPr>
          <w:b/>
        </w:rPr>
        <w:t>Accuracy checklist</w:t>
      </w:r>
    </w:p>
    <w:p w:rsidR="008D269D" w:rsidRPr="00204A03" w:rsidRDefault="008D269D" w:rsidP="006A2A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4A03">
        <w:rPr>
          <w:rFonts w:cs="Times New Roman"/>
        </w:rPr>
        <w:t>The following are data quality checks performed against the NTSS data to identify</w:t>
      </w:r>
      <w:r w:rsidR="00EB41C4">
        <w:rPr>
          <w:rFonts w:cs="Times New Roman"/>
        </w:rPr>
        <w:t xml:space="preserve"> </w:t>
      </w:r>
      <w:r w:rsidRPr="00204A03">
        <w:rPr>
          <w:rFonts w:cs="Times New Roman"/>
        </w:rPr>
        <w:t>inconsistencies in the data. Each reporting area has evaluated at least some of the items referenced here. No action is required; however, for analyses that look at the data in fine</w:t>
      </w:r>
      <w:r w:rsidR="00EB41C4">
        <w:rPr>
          <w:rFonts w:cs="Times New Roman"/>
        </w:rPr>
        <w:t xml:space="preserve"> </w:t>
      </w:r>
      <w:r w:rsidRPr="00204A03">
        <w:rPr>
          <w:rFonts w:cs="Times New Roman"/>
        </w:rPr>
        <w:t>detail, some of the items listed below may be worth reviewing to see if the data should be excluded from your analysis.</w:t>
      </w:r>
    </w:p>
    <w:p w:rsidR="000C6B40" w:rsidRDefault="000C6B40" w:rsidP="00331306">
      <w:pPr>
        <w:spacing w:after="0"/>
        <w:jc w:val="center"/>
        <w:rPr>
          <w:b/>
          <w:sz w:val="28"/>
          <w:szCs w:val="28"/>
        </w:rPr>
      </w:pPr>
    </w:p>
    <w:p w:rsidR="00463728" w:rsidRDefault="00463728" w:rsidP="00331306">
      <w:pPr>
        <w:spacing w:after="0"/>
        <w:jc w:val="center"/>
        <w:rPr>
          <w:b/>
          <w:sz w:val="28"/>
          <w:szCs w:val="28"/>
        </w:rPr>
      </w:pPr>
      <w:r w:rsidRPr="00674883">
        <w:rPr>
          <w:b/>
          <w:sz w:val="28"/>
          <w:szCs w:val="28"/>
        </w:rPr>
        <w:t>Age</w:t>
      </w:r>
    </w:p>
    <w:p w:rsidR="00FB0B06" w:rsidRDefault="00FB0B06" w:rsidP="00FB0B06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204A03">
        <w:rPr>
          <w:rFonts w:cs="Times New Roman"/>
          <w:bCs/>
        </w:rPr>
        <w:t>The following checks of the data suggest that the resu</w:t>
      </w:r>
      <w:r>
        <w:rPr>
          <w:rFonts w:cs="Times New Roman"/>
          <w:bCs/>
        </w:rPr>
        <w:t xml:space="preserve">lts warrant a closer look. </w:t>
      </w:r>
    </w:p>
    <w:p w:rsidR="00FB0B06" w:rsidRPr="00FB0B06" w:rsidRDefault="00FB0B06" w:rsidP="00FB0B06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90"/>
        <w:gridCol w:w="6300"/>
      </w:tblGrid>
      <w:tr w:rsidR="00CC36EF" w:rsidTr="00EF0E29">
        <w:trPr>
          <w:cantSplit/>
          <w:tblHeader/>
        </w:trPr>
        <w:tc>
          <w:tcPr>
            <w:tcW w:w="32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C36EF" w:rsidRDefault="00CC36EF" w:rsidP="00CC36EF">
            <w:pPr>
              <w:jc w:val="center"/>
              <w:rPr>
                <w:b/>
              </w:rPr>
            </w:pPr>
            <w:r>
              <w:rPr>
                <w:b/>
              </w:rPr>
              <w:t xml:space="preserve">RVCT 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CC36EF" w:rsidRDefault="00502DE2" w:rsidP="00502DE2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Results Warranting </w:t>
            </w:r>
            <w:r w:rsidR="00CC36EF">
              <w:rPr>
                <w:b/>
              </w:rPr>
              <w:t>Closer Look</w:t>
            </w:r>
          </w:p>
        </w:tc>
      </w:tr>
      <w:tr w:rsidR="00CC36EF" w:rsidTr="00EF0E29">
        <w:trPr>
          <w:cantSplit/>
          <w:tblHeader/>
        </w:trPr>
        <w:tc>
          <w:tcPr>
            <w:tcW w:w="468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C36EF" w:rsidRPr="00B91941" w:rsidRDefault="00CC36EF" w:rsidP="00CC36EF">
            <w:pPr>
              <w:jc w:val="center"/>
              <w:rPr>
                <w:rFonts w:cs="Times New Roman"/>
                <w:b/>
              </w:rPr>
            </w:pPr>
            <w:r w:rsidRPr="00B91941">
              <w:rPr>
                <w:b/>
              </w:rPr>
              <w:t>#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C36EF" w:rsidRPr="00B91941" w:rsidRDefault="00CC36EF" w:rsidP="00CC36EF">
            <w:pPr>
              <w:jc w:val="center"/>
              <w:rPr>
                <w:b/>
              </w:rPr>
            </w:pPr>
            <w:r w:rsidRPr="00B91941">
              <w:rPr>
                <w:b/>
              </w:rPr>
              <w:t>Item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C36EF" w:rsidRPr="00674883" w:rsidRDefault="00CC36EF" w:rsidP="00CC36EF">
            <w:pPr>
              <w:rPr>
                <w:rFonts w:cs="Times New Roman"/>
              </w:rPr>
            </w:pPr>
          </w:p>
        </w:tc>
      </w:tr>
      <w:tr w:rsidR="00B464C0" w:rsidTr="00EF0E29">
        <w:trPr>
          <w:cantSplit/>
          <w:trHeight w:val="226"/>
        </w:trPr>
        <w:tc>
          <w:tcPr>
            <w:tcW w:w="468" w:type="dxa"/>
            <w:tcBorders>
              <w:top w:val="single" w:sz="18" w:space="0" w:color="auto"/>
              <w:bottom w:val="dashed" w:sz="4" w:space="0" w:color="auto"/>
            </w:tcBorders>
          </w:tcPr>
          <w:p w:rsidR="00B464C0" w:rsidRPr="00CC36EF" w:rsidRDefault="00B464C0" w:rsidP="00B464C0">
            <w:pPr>
              <w:rPr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790" w:type="dxa"/>
            <w:tcBorders>
              <w:top w:val="single" w:sz="18" w:space="0" w:color="auto"/>
              <w:bottom w:val="dashed" w:sz="4" w:space="0" w:color="auto"/>
            </w:tcBorders>
          </w:tcPr>
          <w:p w:rsidR="00B464C0" w:rsidRPr="00674883" w:rsidRDefault="00B464C0" w:rsidP="00B27B2D">
            <w:pPr>
              <w:rPr>
                <w:b/>
              </w:rPr>
            </w:pPr>
            <w:r>
              <w:rPr>
                <w:b/>
              </w:rPr>
              <w:t>Date Reported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B464C0" w:rsidRPr="00674883" w:rsidRDefault="00B464C0" w:rsidP="00CC36EF">
            <w:pPr>
              <w:rPr>
                <w:b/>
              </w:rPr>
            </w:pPr>
            <w:r w:rsidRPr="00674883">
              <w:rPr>
                <w:rFonts w:cs="Times New Roman"/>
              </w:rPr>
              <w:t xml:space="preserve">Age </w:t>
            </w:r>
            <w:r>
              <w:rPr>
                <w:rFonts w:cs="Times New Roman"/>
              </w:rPr>
              <w:t>&gt;=</w:t>
            </w:r>
            <w:r w:rsidRPr="00674883">
              <w:rPr>
                <w:rFonts w:cs="Times New Roman"/>
              </w:rPr>
              <w:t xml:space="preserve"> 100</w:t>
            </w:r>
          </w:p>
        </w:tc>
      </w:tr>
      <w:tr w:rsidR="00B464C0" w:rsidTr="00EF0E29">
        <w:trPr>
          <w:cantSplit/>
          <w:trHeight w:val="225"/>
        </w:trPr>
        <w:tc>
          <w:tcPr>
            <w:tcW w:w="468" w:type="dxa"/>
            <w:tcBorders>
              <w:top w:val="dashed" w:sz="4" w:space="0" w:color="auto"/>
              <w:bottom w:val="single" w:sz="18" w:space="0" w:color="auto"/>
            </w:tcBorders>
          </w:tcPr>
          <w:p w:rsidR="00B464C0" w:rsidRPr="00CC36EF" w:rsidRDefault="00B464C0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8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18" w:space="0" w:color="auto"/>
            </w:tcBorders>
          </w:tcPr>
          <w:p w:rsidR="00B464C0" w:rsidRPr="00674883" w:rsidRDefault="00B464C0" w:rsidP="00B27B2D">
            <w:pPr>
              <w:rPr>
                <w:b/>
              </w:rPr>
            </w:pPr>
            <w:r w:rsidRPr="00674883">
              <w:rPr>
                <w:b/>
              </w:rPr>
              <w:t>Date of Birth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B464C0" w:rsidRPr="00674883" w:rsidRDefault="00B464C0" w:rsidP="00CC36EF">
            <w:pPr>
              <w:rPr>
                <w:rFonts w:cs="Times New Roman"/>
              </w:rPr>
            </w:pPr>
          </w:p>
        </w:tc>
      </w:tr>
      <w:tr w:rsidR="00C15C32" w:rsidTr="00EF0E29">
        <w:trPr>
          <w:cantSplit/>
        </w:trPr>
        <w:tc>
          <w:tcPr>
            <w:tcW w:w="468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0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C15C32" w:rsidRPr="00C15C32" w:rsidRDefault="00C15C32" w:rsidP="00C15C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federal prison is &lt; 18 or &gt;= 70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state prison is &lt; 18 or &gt;= 70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local jail is &lt; 18 or &gt;= 70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juvenile facility is &lt; 13 or &gt;= 25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other correctional facility is &lt; 18 or &gt;= 70 years old</w:t>
            </w:r>
          </w:p>
        </w:tc>
      </w:tr>
      <w:tr w:rsidR="00C15C32" w:rsidTr="00C15C32">
        <w:trPr>
          <w:cantSplit/>
          <w:trHeight w:val="537"/>
        </w:trPr>
        <w:tc>
          <w:tcPr>
            <w:tcW w:w="468" w:type="dxa"/>
            <w:tcBorders>
              <w:top w:val="dashed" w:sz="4" w:space="0" w:color="auto"/>
              <w:bottom w:val="single" w:sz="4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b/>
              </w:rPr>
              <w:t>28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4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 w:rsidRPr="00674883">
              <w:rPr>
                <w:b/>
              </w:rPr>
              <w:t>Resident of Correctional Facility at Time of Diagnosis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C15C32" w:rsidRPr="00674883" w:rsidRDefault="00C15C32" w:rsidP="00FB187A">
            <w:pPr>
              <w:rPr>
                <w:rFonts w:cs="Times New Roman"/>
              </w:rPr>
            </w:pPr>
          </w:p>
        </w:tc>
      </w:tr>
      <w:tr w:rsidR="00C15C32" w:rsidTr="009D6D2F">
        <w:trPr>
          <w:cantSplit/>
        </w:trPr>
        <w:tc>
          <w:tcPr>
            <w:tcW w:w="468" w:type="dxa"/>
            <w:tcBorders>
              <w:top w:val="single" w:sz="24" w:space="0" w:color="auto"/>
              <w:bottom w:val="dashed" w:sz="4" w:space="0" w:color="auto"/>
            </w:tcBorders>
          </w:tcPr>
          <w:p w:rsidR="00C15C32" w:rsidRPr="00674883" w:rsidRDefault="00C15C32" w:rsidP="009D6D2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0" w:type="dxa"/>
            <w:tcBorders>
              <w:top w:val="single" w:sz="24" w:space="0" w:color="auto"/>
              <w:bottom w:val="dashed" w:sz="4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300" w:type="dxa"/>
            <w:vMerge w:val="restart"/>
            <w:tcBorders>
              <w:top w:val="single" w:sz="24" w:space="0" w:color="auto"/>
            </w:tcBorders>
          </w:tcPr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a nursing home is &lt;= 30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a hospital-based facility is &lt;= 25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a residential-based facility is &lt;= 25 or &gt;= 90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a mental health facility is &lt;= 5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alcohol/drug treatment facility is &lt; 16 or &gt;= 70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Resident of other long-term care facility is &lt;= 25 or &gt;=90 years old</w:t>
            </w:r>
          </w:p>
        </w:tc>
      </w:tr>
      <w:tr w:rsidR="00C15C32" w:rsidTr="00C15C32">
        <w:trPr>
          <w:cantSplit/>
          <w:trHeight w:val="537"/>
        </w:trPr>
        <w:tc>
          <w:tcPr>
            <w:tcW w:w="468" w:type="dxa"/>
            <w:tcBorders>
              <w:top w:val="dashed" w:sz="4" w:space="0" w:color="auto"/>
              <w:bottom w:val="single" w:sz="4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b/>
              </w:rPr>
              <w:t>29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4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 w:rsidRPr="00674883">
              <w:rPr>
                <w:b/>
              </w:rPr>
              <w:t>Resident of Long-Term Care Facility at Time of Diagnosis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C15C32" w:rsidRPr="00674883" w:rsidRDefault="00C15C32" w:rsidP="00FB187A">
            <w:pPr>
              <w:rPr>
                <w:rFonts w:cs="Times New Roman"/>
              </w:rPr>
            </w:pPr>
          </w:p>
        </w:tc>
      </w:tr>
      <w:tr w:rsidR="00C15C32" w:rsidTr="00FD03BB">
        <w:trPr>
          <w:cantSplit/>
        </w:trPr>
        <w:tc>
          <w:tcPr>
            <w:tcW w:w="468" w:type="dxa"/>
            <w:tcBorders>
              <w:top w:val="single" w:sz="24" w:space="0" w:color="auto"/>
              <w:bottom w:val="dashed" w:sz="4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0" w:type="dxa"/>
            <w:tcBorders>
              <w:top w:val="single" w:sz="24" w:space="0" w:color="auto"/>
              <w:bottom w:val="dashed" w:sz="4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 w:rsidRPr="00674883">
              <w:rPr>
                <w:b/>
              </w:rPr>
              <w:t>Date</w:t>
            </w:r>
            <w:r>
              <w:rPr>
                <w:b/>
              </w:rPr>
              <w:t xml:space="preserve"> of Birth</w:t>
            </w:r>
          </w:p>
        </w:tc>
        <w:tc>
          <w:tcPr>
            <w:tcW w:w="6300" w:type="dxa"/>
            <w:vMerge w:val="restart"/>
            <w:tcBorders>
              <w:top w:val="single" w:sz="24" w:space="0" w:color="auto"/>
            </w:tcBorders>
          </w:tcPr>
          <w:p w:rsidR="00C15C32" w:rsidRPr="00C15C32" w:rsidRDefault="00C15C32" w:rsidP="00C15C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Health care worker is &lt; 13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Correctional employee is &lt; 18 or &gt; 65 years old</w:t>
            </w:r>
          </w:p>
          <w:p w:rsidR="00C15C32" w:rsidRPr="00C15C32" w:rsidRDefault="00C15C32" w:rsidP="00C15C32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b/>
              </w:rPr>
            </w:pPr>
            <w:r w:rsidRPr="00C15C32">
              <w:rPr>
                <w:rFonts w:cs="Times New Roman"/>
              </w:rPr>
              <w:t>Migratory/seasonal worker is &lt; 16 or &gt; 75 years old</w:t>
            </w:r>
            <w:r w:rsidRPr="00C15C32">
              <w:rPr>
                <w:rFonts w:cs="Times New Roman"/>
              </w:rPr>
              <w:tab/>
            </w:r>
          </w:p>
          <w:p w:rsidR="00C15C32" w:rsidRDefault="00C15C32" w:rsidP="00C15C32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cs="Times New Roman"/>
              </w:rPr>
            </w:pPr>
            <w:r w:rsidRPr="00C15C32">
              <w:rPr>
                <w:rFonts w:cs="Times New Roman"/>
              </w:rPr>
              <w:t>Worker in any other occupation is &lt; 16 or &gt;= 90 years old</w:t>
            </w:r>
          </w:p>
          <w:p w:rsidR="00B36B87" w:rsidRDefault="00B36B87" w:rsidP="00B36B87">
            <w:pPr>
              <w:rPr>
                <w:rFonts w:cs="Times New Roman"/>
              </w:rPr>
            </w:pPr>
          </w:p>
          <w:p w:rsidR="00B36B87" w:rsidRPr="00B36B87" w:rsidRDefault="00B36B87" w:rsidP="00B36B87">
            <w:pPr>
              <w:rPr>
                <w:rFonts w:cs="Times New Roman"/>
              </w:rPr>
            </w:pPr>
          </w:p>
        </w:tc>
      </w:tr>
      <w:tr w:rsidR="00C15C32" w:rsidTr="00C15C32">
        <w:trPr>
          <w:cantSplit/>
          <w:trHeight w:val="537"/>
        </w:trPr>
        <w:tc>
          <w:tcPr>
            <w:tcW w:w="468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b/>
              </w:rPr>
              <w:t>30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 w:rsidRPr="00674883">
              <w:rPr>
                <w:b/>
              </w:rPr>
              <w:t>Primary Occupation Within Past Year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C15C32" w:rsidRPr="00674883" w:rsidRDefault="00C15C32" w:rsidP="00331306">
            <w:pPr>
              <w:rPr>
                <w:rFonts w:cs="Times New Roman"/>
              </w:rPr>
            </w:pP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 w:rsidRPr="00674883">
              <w:rPr>
                <w:b/>
              </w:rPr>
              <w:t>Date of Birth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C15C32" w:rsidRPr="00674883" w:rsidRDefault="00C15C32" w:rsidP="00331306">
            <w:pPr>
              <w:autoSpaceDE w:val="0"/>
              <w:autoSpaceDN w:val="0"/>
              <w:adjustRightInd w:val="0"/>
              <w:rPr>
                <w:b/>
              </w:rPr>
            </w:pPr>
            <w:r w:rsidRPr="00674883">
              <w:rPr>
                <w:rFonts w:cs="Times New Roman"/>
              </w:rPr>
              <w:t>Injecting drug user is &lt; 16 or &gt;= 70 years old</w:t>
            </w: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CC36EF">
            <w:pPr>
              <w:rPr>
                <w:b/>
              </w:rPr>
            </w:pPr>
            <w:r w:rsidRPr="00674883">
              <w:rPr>
                <w:b/>
              </w:rPr>
              <w:t>31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C00679">
            <w:pPr>
              <w:rPr>
                <w:b/>
              </w:rPr>
            </w:pPr>
            <w:r w:rsidRPr="00674883">
              <w:rPr>
                <w:b/>
              </w:rPr>
              <w:t>Injecting Drug Use Within Past Year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C15C32" w:rsidRPr="00674883" w:rsidRDefault="00C15C32" w:rsidP="0033130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0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rFonts w:cs="Times New Roman"/>
              </w:rPr>
              <w:t>Non injecting drug user is &lt; 16 years old</w:t>
            </w: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b/>
              </w:rPr>
              <w:t>32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B27B2D">
            <w:pPr>
              <w:rPr>
                <w:b/>
              </w:rPr>
            </w:pPr>
            <w:r w:rsidRPr="00674883">
              <w:rPr>
                <w:b/>
              </w:rPr>
              <w:t>Non-Injecting Drug Use Within Past Year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C15C32" w:rsidRPr="00674883" w:rsidRDefault="00C15C32" w:rsidP="00FB187A">
            <w:pPr>
              <w:rPr>
                <w:rFonts w:cs="Times New Roman"/>
              </w:rPr>
            </w:pP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0" w:type="dxa"/>
            <w:tcBorders>
              <w:top w:val="single" w:sz="18" w:space="0" w:color="auto"/>
              <w:bottom w:val="dashed" w:sz="4" w:space="0" w:color="auto"/>
            </w:tcBorders>
          </w:tcPr>
          <w:p w:rsidR="00C15C32" w:rsidRPr="00674883" w:rsidRDefault="00C15C32" w:rsidP="00C15C3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rFonts w:cs="Times New Roman"/>
              </w:rPr>
              <w:t>Alcohol abuser is &lt; 16 years old</w:t>
            </w:r>
          </w:p>
        </w:tc>
      </w:tr>
      <w:tr w:rsidR="00C15C32" w:rsidTr="00C15C32">
        <w:trPr>
          <w:cantSplit/>
          <w:trHeight w:val="338"/>
        </w:trPr>
        <w:tc>
          <w:tcPr>
            <w:tcW w:w="468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FB187A">
            <w:pPr>
              <w:rPr>
                <w:b/>
              </w:rPr>
            </w:pPr>
            <w:r w:rsidRPr="00674883">
              <w:rPr>
                <w:b/>
              </w:rPr>
              <w:t>33</w:t>
            </w:r>
          </w:p>
        </w:tc>
        <w:tc>
          <w:tcPr>
            <w:tcW w:w="2790" w:type="dxa"/>
            <w:tcBorders>
              <w:top w:val="dashed" w:sz="4" w:space="0" w:color="auto"/>
              <w:bottom w:val="single" w:sz="18" w:space="0" w:color="auto"/>
            </w:tcBorders>
          </w:tcPr>
          <w:p w:rsidR="00C15C32" w:rsidRPr="00674883" w:rsidRDefault="00C15C32" w:rsidP="00674883">
            <w:pPr>
              <w:rPr>
                <w:b/>
              </w:rPr>
            </w:pPr>
            <w:r w:rsidRPr="00674883">
              <w:rPr>
                <w:b/>
              </w:rPr>
              <w:t>Excess Alcohol Use Within Past Year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C15C32" w:rsidRPr="00674883" w:rsidRDefault="00C15C32" w:rsidP="00FB187A">
            <w:pPr>
              <w:rPr>
                <w:rFonts w:cs="Times New Roman"/>
              </w:rPr>
            </w:pPr>
          </w:p>
        </w:tc>
      </w:tr>
    </w:tbl>
    <w:p w:rsidR="00F13940" w:rsidRDefault="00F13940" w:rsidP="00F13940">
      <w:pPr>
        <w:rPr>
          <w:rFonts w:cs="Times New Roman"/>
          <w:b/>
          <w:bCs/>
          <w:sz w:val="28"/>
          <w:szCs w:val="28"/>
        </w:rPr>
      </w:pPr>
    </w:p>
    <w:p w:rsidR="008D269D" w:rsidRPr="00DA6959" w:rsidRDefault="008D269D" w:rsidP="00120437">
      <w:pPr>
        <w:jc w:val="center"/>
        <w:rPr>
          <w:rFonts w:cs="Times New Roman"/>
          <w:b/>
          <w:bCs/>
          <w:sz w:val="28"/>
          <w:szCs w:val="28"/>
        </w:rPr>
      </w:pPr>
      <w:r w:rsidRPr="00DA6959">
        <w:rPr>
          <w:rFonts w:cs="Times New Roman"/>
          <w:b/>
          <w:bCs/>
          <w:sz w:val="28"/>
          <w:szCs w:val="28"/>
        </w:rPr>
        <w:t>Completion of Therapy &amp; Drug 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762"/>
        <w:gridCol w:w="6300"/>
      </w:tblGrid>
      <w:tr w:rsidR="00C00679" w:rsidTr="00776741">
        <w:trPr>
          <w:cantSplit/>
          <w:tblHeader/>
        </w:trPr>
        <w:tc>
          <w:tcPr>
            <w:tcW w:w="32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C00679" w:rsidRDefault="00502DE2" w:rsidP="00502DE2">
            <w:pPr>
              <w:jc w:val="center"/>
              <w:rPr>
                <w:b/>
              </w:rPr>
            </w:pPr>
            <w:r>
              <w:rPr>
                <w:b/>
              </w:rPr>
              <w:t>Results Warranting Closer Look</w:t>
            </w:r>
          </w:p>
        </w:tc>
      </w:tr>
      <w:tr w:rsidR="00C00679" w:rsidTr="00EF0E29">
        <w:trPr>
          <w:cantSplit/>
          <w:tblHeader/>
        </w:trPr>
        <w:tc>
          <w:tcPr>
            <w:tcW w:w="496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Pr="00E30A73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Pr="00204A03" w:rsidRDefault="00C00679" w:rsidP="00D0098F">
            <w:pPr>
              <w:rPr>
                <w:rFonts w:cs="Times New Roman"/>
              </w:rPr>
            </w:pPr>
          </w:p>
        </w:tc>
      </w:tr>
      <w:tr w:rsidR="00DA6959" w:rsidTr="00C15C32">
        <w:trPr>
          <w:cantSplit/>
        </w:trPr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Default="00DA6959" w:rsidP="00FB187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Default="00FB0B06" w:rsidP="00FB0B06">
            <w:pPr>
              <w:rPr>
                <w:b/>
              </w:rPr>
            </w:pPr>
            <w:r w:rsidRPr="00E30A73">
              <w:rPr>
                <w:b/>
              </w:rPr>
              <w:t>Initial Drug Regimen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Default="00DA6959" w:rsidP="00D0098F">
            <w:pPr>
              <w:rPr>
                <w:b/>
              </w:rPr>
            </w:pPr>
            <w:r w:rsidRPr="00204A03">
              <w:rPr>
                <w:rFonts w:cs="Times New Roman"/>
              </w:rPr>
              <w:t>Initial drug regimen consists of seven or more drugs</w:t>
            </w:r>
          </w:p>
        </w:tc>
      </w:tr>
      <w:tr w:rsidR="00EA448C" w:rsidTr="00EA448C">
        <w:trPr>
          <w:cantSplit/>
          <w:trHeight w:val="226"/>
        </w:trPr>
        <w:tc>
          <w:tcPr>
            <w:tcW w:w="496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EA448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62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EA448C">
            <w:pPr>
              <w:rPr>
                <w:b/>
              </w:rPr>
            </w:pPr>
            <w:r w:rsidRPr="00E30A73">
              <w:rPr>
                <w:b/>
              </w:rPr>
              <w:t>Date Therapy Started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Pr="00463728" w:rsidRDefault="00EA448C" w:rsidP="00FB18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4A03">
              <w:rPr>
                <w:rFonts w:cs="Times New Roman"/>
              </w:rPr>
              <w:t>Length of completed therapy is less than 120 days</w:t>
            </w:r>
          </w:p>
        </w:tc>
      </w:tr>
      <w:tr w:rsidR="00EA448C" w:rsidTr="00EA448C">
        <w:trPr>
          <w:cantSplit/>
          <w:trHeight w:val="225"/>
        </w:trPr>
        <w:tc>
          <w:tcPr>
            <w:tcW w:w="496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Default="00EA448C" w:rsidP="00C0067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62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FB0B06">
            <w:pPr>
              <w:rPr>
                <w:b/>
              </w:rPr>
            </w:pPr>
            <w:r w:rsidRPr="002B65F8">
              <w:rPr>
                <w:b/>
              </w:rPr>
              <w:t>Date Therapy Stopped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EA448C" w:rsidRPr="00204A03" w:rsidRDefault="00EA448C" w:rsidP="00FB187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489"/>
        </w:trPr>
        <w:tc>
          <w:tcPr>
            <w:tcW w:w="496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Pr="00EA448C" w:rsidRDefault="00EA448C" w:rsidP="00FB0B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2762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FB0B06">
            <w:pPr>
              <w:rPr>
                <w:b/>
              </w:rPr>
            </w:pPr>
            <w:r w:rsidRPr="00E30A73">
              <w:rPr>
                <w:b/>
              </w:rPr>
              <w:t>Date Therapy Started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EA448C">
              <w:rPr>
                <w:rFonts w:cs="Times New Roman"/>
              </w:rPr>
              <w:t>Length of completed therapy is greater than 365 days for non-RIF resistance</w:t>
            </w:r>
            <w:r w:rsidRPr="00EA448C">
              <w:rPr>
                <w:rFonts w:cs="Times New Roman"/>
              </w:rPr>
              <w:tab/>
            </w:r>
          </w:p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EA448C">
              <w:rPr>
                <w:rFonts w:cs="Times New Roman"/>
              </w:rPr>
              <w:t>Length of therapy for Rifampin resistance is greater than two years</w:t>
            </w:r>
          </w:p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EA448C">
              <w:rPr>
                <w:rFonts w:cs="Times New Roman"/>
              </w:rPr>
              <w:t>Date therapy started is more than 60 days after or more than 14 days prior to date of first isolate for susceptibility testing</w:t>
            </w:r>
          </w:p>
        </w:tc>
      </w:tr>
      <w:tr w:rsidR="00EA448C" w:rsidTr="00EA448C">
        <w:trPr>
          <w:cantSplit/>
          <w:trHeight w:val="488"/>
        </w:trPr>
        <w:tc>
          <w:tcPr>
            <w:tcW w:w="496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0B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FB0B06">
            <w:pPr>
              <w:rPr>
                <w:b/>
              </w:rPr>
            </w:pPr>
            <w:r w:rsidRPr="00E30A73">
              <w:rPr>
                <w:b/>
              </w:rPr>
              <w:t>Initial Drug Susceptibility Testing</w:t>
            </w:r>
          </w:p>
        </w:tc>
        <w:tc>
          <w:tcPr>
            <w:tcW w:w="6300" w:type="dxa"/>
            <w:vMerge/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488"/>
        </w:trPr>
        <w:tc>
          <w:tcPr>
            <w:tcW w:w="496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0B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FB0B06">
            <w:pPr>
              <w:rPr>
                <w:b/>
              </w:rPr>
            </w:pPr>
            <w:r w:rsidRPr="00E30A73">
              <w:rPr>
                <w:b/>
              </w:rPr>
              <w:t>Initial Drug Susceptibility Results</w:t>
            </w:r>
          </w:p>
        </w:tc>
        <w:tc>
          <w:tcPr>
            <w:tcW w:w="6300" w:type="dxa"/>
            <w:vMerge/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314"/>
        </w:trPr>
        <w:tc>
          <w:tcPr>
            <w:tcW w:w="496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CC36EF" w:rsidRDefault="00EA448C" w:rsidP="00FB0B06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43</w:t>
            </w:r>
          </w:p>
        </w:tc>
        <w:tc>
          <w:tcPr>
            <w:tcW w:w="2762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FB0B06">
            <w:pPr>
              <w:rPr>
                <w:b/>
              </w:rPr>
            </w:pPr>
            <w:r w:rsidRPr="002B65F8">
              <w:rPr>
                <w:b/>
              </w:rPr>
              <w:t>Date Therapy Stopped</w:t>
            </w:r>
          </w:p>
        </w:tc>
        <w:tc>
          <w:tcPr>
            <w:tcW w:w="6300" w:type="dxa"/>
            <w:vMerge/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226"/>
        </w:trPr>
        <w:tc>
          <w:tcPr>
            <w:tcW w:w="496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2762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91235B">
            <w:pPr>
              <w:rPr>
                <w:b/>
              </w:rPr>
            </w:pPr>
            <w:r w:rsidRPr="00E30A73">
              <w:rPr>
                <w:b/>
              </w:rPr>
              <w:t>Date Therapy Started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Pr="00204A03" w:rsidRDefault="00EA448C" w:rsidP="00D0098F">
            <w:pPr>
              <w:rPr>
                <w:rFonts w:cs="Times New Roman"/>
              </w:rPr>
            </w:pPr>
            <w:r w:rsidRPr="00204A03">
              <w:rPr>
                <w:rFonts w:cs="Times New Roman"/>
              </w:rPr>
              <w:t>Date therapy started is more than 60 days after or more than 14 days prior to date</w:t>
            </w:r>
            <w:r>
              <w:rPr>
                <w:rFonts w:cs="Times New Roman"/>
              </w:rPr>
              <w:t xml:space="preserve"> </w:t>
            </w:r>
            <w:r w:rsidRPr="00204A03">
              <w:rPr>
                <w:rFonts w:cs="Times New Roman"/>
              </w:rPr>
              <w:t>of first isolate for susceptibility testing</w:t>
            </w:r>
            <w:r>
              <w:rPr>
                <w:rFonts w:cs="Times New Roman"/>
              </w:rPr>
              <w:tab/>
            </w:r>
          </w:p>
        </w:tc>
      </w:tr>
      <w:tr w:rsidR="00EA448C" w:rsidTr="00EA448C">
        <w:trPr>
          <w:cantSplit/>
          <w:trHeight w:val="225"/>
        </w:trPr>
        <w:tc>
          <w:tcPr>
            <w:tcW w:w="496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39</w:t>
            </w:r>
          </w:p>
        </w:tc>
        <w:tc>
          <w:tcPr>
            <w:tcW w:w="2762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91235B">
            <w:pPr>
              <w:rPr>
                <w:b/>
              </w:rPr>
            </w:pPr>
            <w:r w:rsidRPr="00E30A73">
              <w:rPr>
                <w:b/>
              </w:rPr>
              <w:t>Initial Drug Susceptibility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EA448C" w:rsidRPr="00204A03" w:rsidRDefault="00EA448C" w:rsidP="00D0098F">
            <w:pPr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470"/>
        </w:trPr>
        <w:tc>
          <w:tcPr>
            <w:tcW w:w="496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Pr="00EA448C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2762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FB187A">
            <w:pPr>
              <w:rPr>
                <w:b/>
              </w:rPr>
            </w:pPr>
            <w:r w:rsidRPr="00E30A73">
              <w:rPr>
                <w:b/>
              </w:rPr>
              <w:t>Initial Drug Susceptibility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Default="00EA448C" w:rsidP="00EA448C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 w:rsidRPr="00EA448C">
              <w:rPr>
                <w:rFonts w:cs="Times New Roman"/>
              </w:rPr>
              <w:t>Time between initial and final isolates collected for susceptibility testing is less than 30 or more than 730 days</w:t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</w:p>
          <w:p w:rsid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</w:pPr>
            <w:r w:rsidRPr="00EA448C">
              <w:rPr>
                <w:rFonts w:cs="Times New Roman"/>
              </w:rPr>
              <w:t>Isolate is initially resistant yet susceptible in final susceptibility testing</w:t>
            </w:r>
          </w:p>
        </w:tc>
      </w:tr>
      <w:tr w:rsidR="00EA448C" w:rsidTr="00EF0E29">
        <w:trPr>
          <w:cantSplit/>
          <w:trHeight w:val="469"/>
        </w:trPr>
        <w:tc>
          <w:tcPr>
            <w:tcW w:w="496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48</w:t>
            </w:r>
          </w:p>
        </w:tc>
        <w:tc>
          <w:tcPr>
            <w:tcW w:w="2762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FB187A">
            <w:pPr>
              <w:rPr>
                <w:b/>
              </w:rPr>
            </w:pPr>
            <w:r w:rsidRPr="002B65F8">
              <w:rPr>
                <w:b/>
              </w:rPr>
              <w:t>Final Drug Susceptibility Testing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345"/>
        </w:trPr>
        <w:tc>
          <w:tcPr>
            <w:tcW w:w="496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Pr="00EA448C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2762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EA448C">
            <w:pPr>
              <w:rPr>
                <w:b/>
              </w:rPr>
            </w:pPr>
            <w:r w:rsidRPr="00E30A73">
              <w:rPr>
                <w:b/>
              </w:rPr>
              <w:t>Date Therapy Started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EA448C">
              <w:rPr>
                <w:rFonts w:cs="Times New Roman"/>
              </w:rPr>
              <w:t>Sputum culture conversion for Rifampin resistance is less than 15 days or more than 300 days</w:t>
            </w:r>
          </w:p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  <w:r w:rsidRPr="00EA448C">
              <w:rPr>
                <w:rFonts w:cs="Times New Roman"/>
              </w:rPr>
              <w:t>Sputum culture conversion for non-RIF resistance is less than 15 days or more than 120 days</w:t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  <w:r w:rsidRPr="00EA448C">
              <w:rPr>
                <w:rFonts w:cs="Times New Roman"/>
              </w:rPr>
              <w:tab/>
            </w:r>
          </w:p>
        </w:tc>
      </w:tr>
      <w:tr w:rsidR="00EA448C" w:rsidTr="00EA448C">
        <w:trPr>
          <w:cantSplit/>
          <w:trHeight w:val="344"/>
        </w:trPr>
        <w:tc>
          <w:tcPr>
            <w:tcW w:w="496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91235B">
            <w:pPr>
              <w:rPr>
                <w:b/>
              </w:rPr>
            </w:pPr>
            <w:r w:rsidRPr="00E30A73">
              <w:rPr>
                <w:b/>
              </w:rPr>
              <w:t>Initial Drug Susceptibility</w:t>
            </w:r>
          </w:p>
        </w:tc>
        <w:tc>
          <w:tcPr>
            <w:tcW w:w="6300" w:type="dxa"/>
            <w:vMerge/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  <w:tr w:rsidR="00EA448C" w:rsidTr="00EA448C">
        <w:trPr>
          <w:cantSplit/>
          <w:trHeight w:val="344"/>
        </w:trPr>
        <w:tc>
          <w:tcPr>
            <w:tcW w:w="496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91235B">
            <w:pPr>
              <w:rPr>
                <w:b/>
              </w:rPr>
            </w:pPr>
            <w:r w:rsidRPr="00E30A73">
              <w:rPr>
                <w:b/>
              </w:rPr>
              <w:t>Initial Drug Susceptibility Results</w:t>
            </w:r>
          </w:p>
        </w:tc>
        <w:tc>
          <w:tcPr>
            <w:tcW w:w="6300" w:type="dxa"/>
            <w:vMerge/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  <w:tr w:rsidR="00EA448C" w:rsidTr="00EF0E29">
        <w:trPr>
          <w:cantSplit/>
          <w:trHeight w:val="344"/>
        </w:trPr>
        <w:tc>
          <w:tcPr>
            <w:tcW w:w="496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41</w:t>
            </w:r>
          </w:p>
        </w:tc>
        <w:tc>
          <w:tcPr>
            <w:tcW w:w="2762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91235B">
            <w:pPr>
              <w:rPr>
                <w:b/>
              </w:rPr>
            </w:pPr>
            <w:r w:rsidRPr="002B65F8">
              <w:rPr>
                <w:b/>
              </w:rPr>
              <w:t>Sputum Culture Conversion Documented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EA448C" w:rsidRPr="00EA448C" w:rsidRDefault="00EA448C" w:rsidP="00EA44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2" w:hanging="252"/>
              <w:rPr>
                <w:rFonts w:cs="Times New Roman"/>
              </w:rPr>
            </w:pPr>
          </w:p>
        </w:tc>
      </w:tr>
    </w:tbl>
    <w:p w:rsidR="00D0098F" w:rsidRDefault="00D0098F" w:rsidP="006A2A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E7819" w:rsidRDefault="005E781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8D269D" w:rsidRPr="00DA6959" w:rsidRDefault="008D269D" w:rsidP="006A2A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A6959">
        <w:rPr>
          <w:rFonts w:cs="Times New Roman"/>
          <w:b/>
          <w:bCs/>
          <w:sz w:val="28"/>
          <w:szCs w:val="28"/>
        </w:rPr>
        <w:lastRenderedPageBreak/>
        <w:t>Miscellaneous</w:t>
      </w:r>
    </w:p>
    <w:p w:rsidR="00331306" w:rsidRDefault="00331306" w:rsidP="003313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30"/>
        <w:gridCol w:w="6300"/>
      </w:tblGrid>
      <w:tr w:rsidR="00C00679" w:rsidTr="00776741">
        <w:trPr>
          <w:cantSplit/>
          <w:tblHeader/>
        </w:trPr>
        <w:tc>
          <w:tcPr>
            <w:tcW w:w="32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C00679" w:rsidRDefault="00502DE2" w:rsidP="00502DE2">
            <w:pPr>
              <w:jc w:val="center"/>
              <w:rPr>
                <w:b/>
              </w:rPr>
            </w:pPr>
            <w:r>
              <w:rPr>
                <w:b/>
              </w:rPr>
              <w:t>Results Warranting Closer Look</w:t>
            </w:r>
          </w:p>
        </w:tc>
      </w:tr>
      <w:tr w:rsidR="00C00679" w:rsidTr="00776741">
        <w:trPr>
          <w:cantSplit/>
          <w:tblHeader/>
        </w:trPr>
        <w:tc>
          <w:tcPr>
            <w:tcW w:w="828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Pr="00CC36EF" w:rsidRDefault="00C00679" w:rsidP="00C00679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C00679" w:rsidRPr="00204A03" w:rsidRDefault="00C00679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A6959" w:rsidTr="00EA448C">
        <w:trPr>
          <w:cantSplit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Pr="00CC36EF" w:rsidRDefault="00DA6959" w:rsidP="00FB187A">
            <w:pPr>
              <w:rPr>
                <w:b/>
              </w:rPr>
            </w:pPr>
            <w:r w:rsidRPr="00CC36EF">
              <w:rPr>
                <w:rFonts w:cs="Times New Roman"/>
                <w:b/>
              </w:rPr>
              <w:t>7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Default="00DD54AA" w:rsidP="00FB187A">
            <w:pPr>
              <w:rPr>
                <w:b/>
              </w:rPr>
            </w:pPr>
            <w:r w:rsidRPr="00E30A73">
              <w:rPr>
                <w:b/>
              </w:rPr>
              <w:t>Previous Diagnosis of TB Disease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</w:tcPr>
          <w:p w:rsidR="00DA6959" w:rsidRPr="00463728" w:rsidRDefault="00DA6959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4A03">
              <w:rPr>
                <w:rFonts w:cs="Times New Roman"/>
              </w:rPr>
              <w:t>Year of pre</w:t>
            </w:r>
            <w:r>
              <w:rPr>
                <w:rFonts w:cs="Times New Roman"/>
              </w:rPr>
              <w:t>vious diagnosis is prior to 1930</w:t>
            </w:r>
            <w:r>
              <w:rPr>
                <w:rFonts w:cs="Times New Roman"/>
              </w:rPr>
              <w:tab/>
            </w:r>
          </w:p>
        </w:tc>
      </w:tr>
      <w:tr w:rsidR="0091235B" w:rsidTr="00EA448C">
        <w:trPr>
          <w:cantSplit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Pr="00CC36EF" w:rsidRDefault="0091235B" w:rsidP="0091235B">
            <w:pPr>
              <w:rPr>
                <w:b/>
              </w:rPr>
            </w:pPr>
            <w:r w:rsidRPr="00CC36EF">
              <w:rPr>
                <w:rFonts w:cs="Times New Roman"/>
                <w:b/>
              </w:rPr>
              <w:t>13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Default="00DD54AA" w:rsidP="0091235B">
            <w:pPr>
              <w:rPr>
                <w:b/>
              </w:rPr>
            </w:pPr>
            <w:r w:rsidRPr="00E30A73">
              <w:rPr>
                <w:b/>
              </w:rPr>
              <w:t>Month-Year Arrived in U.S.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Default="0091235B" w:rsidP="0091235B">
            <w:pPr>
              <w:rPr>
                <w:b/>
              </w:rPr>
            </w:pPr>
            <w:r w:rsidRPr="00204A03">
              <w:rPr>
                <w:rFonts w:cs="Times New Roman"/>
              </w:rPr>
              <w:t>Month-year arrived in U.S. prior to 1920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</w:tr>
      <w:tr w:rsidR="0091235B" w:rsidTr="00EA448C">
        <w:trPr>
          <w:cantSplit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Pr="00CC36EF" w:rsidRDefault="0091235B" w:rsidP="00FB187A">
            <w:pPr>
              <w:rPr>
                <w:b/>
              </w:rPr>
            </w:pPr>
            <w:r w:rsidRPr="00CC36EF">
              <w:rPr>
                <w:rFonts w:cs="Times New Roman"/>
                <w:b/>
              </w:rPr>
              <w:t>15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Default="00DD54AA" w:rsidP="00FB187A">
            <w:pPr>
              <w:rPr>
                <w:b/>
              </w:rPr>
            </w:pPr>
            <w:r w:rsidRPr="00E30A73">
              <w:rPr>
                <w:b/>
              </w:rPr>
              <w:t>Status at TB Diagnosis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</w:tcPr>
          <w:p w:rsidR="0091235B" w:rsidRPr="00463728" w:rsidRDefault="0091235B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4A03">
              <w:rPr>
                <w:rFonts w:cs="Times New Roman"/>
              </w:rPr>
              <w:t>Positive skin tests with mm of induration greater than or equal to 50</w:t>
            </w:r>
          </w:p>
        </w:tc>
      </w:tr>
      <w:tr w:rsidR="00EA448C" w:rsidTr="00B36B87">
        <w:trPr>
          <w:cantSplit/>
          <w:trHeight w:val="333"/>
        </w:trPr>
        <w:tc>
          <w:tcPr>
            <w:tcW w:w="828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Pr="00EA448C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430" w:type="dxa"/>
            <w:tcBorders>
              <w:top w:val="single" w:sz="18" w:space="0" w:color="auto"/>
              <w:bottom w:val="dashed" w:sz="4" w:space="0" w:color="auto"/>
            </w:tcBorders>
          </w:tcPr>
          <w:p w:rsidR="00EA448C" w:rsidRDefault="00EA448C" w:rsidP="00EA448C">
            <w:pPr>
              <w:rPr>
                <w:b/>
              </w:rPr>
            </w:pPr>
            <w:r w:rsidRPr="00E30A73">
              <w:rPr>
                <w:b/>
              </w:rPr>
              <w:t>Sputum Culture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EA448C" w:rsidRPr="00463728" w:rsidRDefault="00EA448C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4A03">
              <w:rPr>
                <w:rFonts w:cs="Times New Roman"/>
              </w:rPr>
              <w:t>Existence of a Follow</w:t>
            </w:r>
            <w:r>
              <w:rPr>
                <w:rFonts w:cs="Times New Roman"/>
              </w:rPr>
              <w:t>-</w:t>
            </w:r>
            <w:r w:rsidRPr="00204A03">
              <w:rPr>
                <w:rFonts w:cs="Times New Roman"/>
              </w:rPr>
              <w:t>Up 1 record with no positive culture</w:t>
            </w:r>
          </w:p>
        </w:tc>
      </w:tr>
      <w:tr w:rsidR="00EA448C" w:rsidTr="00EA448C">
        <w:trPr>
          <w:cantSplit/>
          <w:trHeight w:val="403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FB187A">
            <w:pPr>
              <w:rPr>
                <w:b/>
              </w:rPr>
            </w:pPr>
            <w:r w:rsidRPr="00E30A73">
              <w:rPr>
                <w:b/>
              </w:rPr>
              <w:t>Culture of Tissue and Other Body Fluids</w:t>
            </w:r>
          </w:p>
        </w:tc>
        <w:tc>
          <w:tcPr>
            <w:tcW w:w="6300" w:type="dxa"/>
            <w:vMerge/>
          </w:tcPr>
          <w:p w:rsidR="00EA448C" w:rsidRPr="00204A03" w:rsidRDefault="00EA448C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448C" w:rsidTr="00B36B87">
        <w:trPr>
          <w:cantSplit/>
          <w:trHeight w:val="403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38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FB187A">
            <w:pPr>
              <w:rPr>
                <w:b/>
              </w:rPr>
            </w:pPr>
            <w:r w:rsidRPr="00E30A73">
              <w:rPr>
                <w:b/>
              </w:rPr>
              <w:t>Genotyping Accession Number</w:t>
            </w:r>
          </w:p>
        </w:tc>
        <w:tc>
          <w:tcPr>
            <w:tcW w:w="6300" w:type="dxa"/>
            <w:vMerge/>
          </w:tcPr>
          <w:p w:rsidR="00EA448C" w:rsidRPr="00204A03" w:rsidRDefault="00EA448C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448C" w:rsidTr="00B36B87">
        <w:trPr>
          <w:cantSplit/>
          <w:trHeight w:val="403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EA448C" w:rsidRPr="00E30A73" w:rsidRDefault="00EA448C" w:rsidP="00FB187A">
            <w:pPr>
              <w:rPr>
                <w:b/>
              </w:rPr>
            </w:pPr>
            <w:r w:rsidRPr="00E30A73">
              <w:rPr>
                <w:b/>
              </w:rPr>
              <w:t>Initial Drug Susceptibility</w:t>
            </w:r>
            <w:r>
              <w:rPr>
                <w:b/>
              </w:rPr>
              <w:t xml:space="preserve"> Testing</w:t>
            </w:r>
          </w:p>
        </w:tc>
        <w:tc>
          <w:tcPr>
            <w:tcW w:w="6300" w:type="dxa"/>
            <w:vMerge/>
          </w:tcPr>
          <w:p w:rsidR="00EA448C" w:rsidRPr="00204A03" w:rsidRDefault="00EA448C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448C" w:rsidTr="00B36B87">
        <w:trPr>
          <w:cantSplit/>
          <w:trHeight w:val="403"/>
        </w:trPr>
        <w:tc>
          <w:tcPr>
            <w:tcW w:w="828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CC36EF" w:rsidRDefault="00EA448C" w:rsidP="00FB187A">
            <w:pPr>
              <w:rPr>
                <w:rFonts w:cs="Times New Roman"/>
                <w:b/>
              </w:rPr>
            </w:pPr>
            <w:r w:rsidRPr="00CC36EF">
              <w:rPr>
                <w:rFonts w:cs="Times New Roman"/>
                <w:b/>
              </w:rPr>
              <w:t>40</w:t>
            </w:r>
          </w:p>
        </w:tc>
        <w:tc>
          <w:tcPr>
            <w:tcW w:w="2430" w:type="dxa"/>
            <w:tcBorders>
              <w:top w:val="dashed" w:sz="4" w:space="0" w:color="auto"/>
              <w:bottom w:val="single" w:sz="18" w:space="0" w:color="auto"/>
            </w:tcBorders>
          </w:tcPr>
          <w:p w:rsidR="00EA448C" w:rsidRPr="00E30A73" w:rsidRDefault="00EA448C" w:rsidP="00FB187A">
            <w:pPr>
              <w:rPr>
                <w:b/>
              </w:rPr>
            </w:pPr>
            <w:r w:rsidRPr="00E30A73">
              <w:rPr>
                <w:b/>
              </w:rPr>
              <w:t>Initial Drug Susceptibility Results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EA448C" w:rsidRPr="00204A03" w:rsidRDefault="00EA448C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279"/>
        </w:trPr>
        <w:tc>
          <w:tcPr>
            <w:tcW w:w="828" w:type="dxa"/>
            <w:tcBorders>
              <w:top w:val="single" w:sz="18" w:space="0" w:color="auto"/>
              <w:bottom w:val="dashed" w:sz="4" w:space="0" w:color="auto"/>
            </w:tcBorders>
          </w:tcPr>
          <w:p w:rsidR="00B36B87" w:rsidRPr="00B36B87" w:rsidRDefault="00B36B87" w:rsidP="00B36B8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430" w:type="dxa"/>
            <w:tcBorders>
              <w:top w:val="single" w:sz="18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b/>
              </w:rPr>
            </w:pPr>
            <w:r w:rsidRPr="00E30A73">
              <w:rPr>
                <w:b/>
              </w:rPr>
              <w:t>Count Status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</w:tcBorders>
          </w:tcPr>
          <w:p w:rsidR="00B36B87" w:rsidRPr="00463728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4A03">
              <w:rPr>
                <w:rFonts w:cs="Times New Roman"/>
              </w:rPr>
              <w:t>Existence of a Follow</w:t>
            </w:r>
            <w:r>
              <w:rPr>
                <w:rFonts w:cs="Times New Roman"/>
              </w:rPr>
              <w:t>-</w:t>
            </w:r>
            <w:r w:rsidRPr="00204A03">
              <w:rPr>
                <w:rFonts w:cs="Times New Roman"/>
              </w:rPr>
              <w:t>Up 2 record with status “dead” at diagnosis</w:t>
            </w:r>
            <w:r>
              <w:rPr>
                <w:rFonts w:cs="Times New Roman"/>
              </w:rPr>
              <w:t xml:space="preserve"> </w:t>
            </w: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 w:rsidRPr="00DD54AA">
              <w:rPr>
                <w:rFonts w:cs="Times New Roman"/>
                <w:b/>
              </w:rPr>
              <w:t>41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Sputum Culture Conversion Documented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350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Moved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341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>
              <w:rPr>
                <w:b/>
              </w:rPr>
              <w:t>Date Therapy Stopped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Reason Therapy Stopped or Never Started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Reason Therapy Extended &gt; 12 Months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Type of Outpatient Health Care Provider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Directly Observed Therapy (D</w:t>
            </w:r>
            <w:r>
              <w:rPr>
                <w:b/>
              </w:rPr>
              <w:t>OT)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F</w:t>
            </w:r>
            <w:r>
              <w:rPr>
                <w:b/>
              </w:rPr>
              <w:t>inal Drug Susceptibility Testing</w:t>
            </w:r>
          </w:p>
        </w:tc>
        <w:tc>
          <w:tcPr>
            <w:tcW w:w="6300" w:type="dxa"/>
            <w:vMerge/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B87" w:rsidTr="00B36B87">
        <w:trPr>
          <w:cantSplit/>
          <w:trHeight w:val="425"/>
        </w:trPr>
        <w:tc>
          <w:tcPr>
            <w:tcW w:w="828" w:type="dxa"/>
            <w:tcBorders>
              <w:top w:val="dashed" w:sz="4" w:space="0" w:color="auto"/>
              <w:bottom w:val="single" w:sz="18" w:space="0" w:color="auto"/>
            </w:tcBorders>
          </w:tcPr>
          <w:p w:rsidR="00B36B87" w:rsidRDefault="00B36B87" w:rsidP="00FB187A">
            <w:pPr>
              <w:rPr>
                <w:rFonts w:cs="Times New Roman"/>
                <w:b/>
              </w:rPr>
            </w:pPr>
            <w:r w:rsidRPr="00DD54AA">
              <w:rPr>
                <w:rFonts w:cs="Times New Roman"/>
                <w:b/>
              </w:rPr>
              <w:t>49</w:t>
            </w:r>
          </w:p>
        </w:tc>
        <w:tc>
          <w:tcPr>
            <w:tcW w:w="2430" w:type="dxa"/>
            <w:tcBorders>
              <w:top w:val="dashed" w:sz="4" w:space="0" w:color="auto"/>
              <w:bottom w:val="single" w:sz="18" w:space="0" w:color="auto"/>
            </w:tcBorders>
          </w:tcPr>
          <w:p w:rsidR="00B36B87" w:rsidRPr="00E30A73" w:rsidRDefault="00B36B87" w:rsidP="00FB187A">
            <w:pPr>
              <w:rPr>
                <w:b/>
              </w:rPr>
            </w:pPr>
            <w:r w:rsidRPr="002B65F8">
              <w:rPr>
                <w:b/>
              </w:rPr>
              <w:t>Final Drug Susceptibility Results</w:t>
            </w:r>
          </w:p>
        </w:tc>
        <w:tc>
          <w:tcPr>
            <w:tcW w:w="6300" w:type="dxa"/>
            <w:vMerge/>
            <w:tcBorders>
              <w:bottom w:val="single" w:sz="18" w:space="0" w:color="auto"/>
            </w:tcBorders>
          </w:tcPr>
          <w:p w:rsidR="00B36B87" w:rsidRPr="00204A03" w:rsidRDefault="00B36B87" w:rsidP="00D009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B7526F" w:rsidRDefault="00B7526F" w:rsidP="00856C07">
      <w:pPr>
        <w:spacing w:after="0"/>
      </w:pPr>
    </w:p>
    <w:p w:rsidR="00B7526F" w:rsidRDefault="00B7526F">
      <w:r>
        <w:br w:type="page"/>
      </w:r>
    </w:p>
    <w:p w:rsidR="00B7526F" w:rsidRPr="00120437" w:rsidRDefault="00B7526F" w:rsidP="00B7526F">
      <w:pPr>
        <w:spacing w:after="0"/>
        <w:jc w:val="center"/>
        <w:rPr>
          <w:rFonts w:cs="Times New Roman"/>
          <w:b/>
          <w:bCs/>
        </w:rPr>
      </w:pPr>
      <w:r w:rsidRPr="00120437">
        <w:rPr>
          <w:rFonts w:cs="Times New Roman"/>
          <w:b/>
          <w:bCs/>
        </w:rPr>
        <w:lastRenderedPageBreak/>
        <w:t>National Tuberculosis Indicator Project (NTIP)</w:t>
      </w:r>
    </w:p>
    <w:p w:rsidR="00B7526F" w:rsidRPr="00120437" w:rsidRDefault="00B7526F" w:rsidP="00B7526F">
      <w:pPr>
        <w:spacing w:after="0"/>
        <w:ind w:right="-180"/>
      </w:pPr>
      <w:r w:rsidRPr="00120437">
        <w:t>Reviewing NTIP data from indicator reports can help detect errors in records. To detect errors if records do not meet NTIP objectives</w:t>
      </w:r>
      <w:r>
        <w:t>,</w:t>
      </w:r>
      <w:r w:rsidRPr="00120437">
        <w:t xml:space="preserve"> request a line list of the data from within the NTIP application. Examine</w:t>
      </w:r>
      <w:r>
        <w:t xml:space="preserve"> the</w:t>
      </w:r>
      <w:r w:rsidRPr="00120437">
        <w:t xml:space="preserve"> NTIP line list to detect differences between State and CDC data bases. Records may not match because</w:t>
      </w:r>
    </w:p>
    <w:p w:rsidR="00B7526F" w:rsidRPr="00120437" w:rsidRDefault="00B7526F" w:rsidP="00B7526F">
      <w:pPr>
        <w:pStyle w:val="ListParagraph"/>
        <w:numPr>
          <w:ilvl w:val="0"/>
          <w:numId w:val="4"/>
        </w:numPr>
        <w:spacing w:after="0"/>
      </w:pPr>
      <w:r w:rsidRPr="00120437">
        <w:t>Data received at CDC may not be as complete or up-to-date as the State data base</w:t>
      </w:r>
    </w:p>
    <w:p w:rsidR="00B7526F" w:rsidRPr="00120437" w:rsidRDefault="00B7526F" w:rsidP="00B7526F">
      <w:pPr>
        <w:pStyle w:val="ListParagraph"/>
        <w:numPr>
          <w:ilvl w:val="0"/>
          <w:numId w:val="4"/>
        </w:numPr>
        <w:spacing w:after="0"/>
      </w:pPr>
      <w:r w:rsidRPr="00120437">
        <w:t>Data might be missing from the State data base</w:t>
      </w:r>
    </w:p>
    <w:p w:rsidR="00B7526F" w:rsidRDefault="00B7526F" w:rsidP="00B7526F">
      <w:pPr>
        <w:spacing w:after="0"/>
      </w:pPr>
      <w:r w:rsidRPr="00120437">
        <w:t>NTIP examines data from 2000 to present. Data for can be confirmed from previous years to help with analysis and check that the records match from the State and CDC.</w:t>
      </w:r>
      <w:r>
        <w:t xml:space="preserve"> </w:t>
      </w:r>
    </w:p>
    <w:p w:rsidR="006A2A60" w:rsidRDefault="006A2A60" w:rsidP="00856C07">
      <w:pPr>
        <w:spacing w:after="0"/>
      </w:pPr>
    </w:p>
    <w:p w:rsidR="00B7526F" w:rsidRPr="00EF0E29" w:rsidRDefault="00B7526F" w:rsidP="00856C07">
      <w:pPr>
        <w:spacing w:after="0"/>
      </w:pPr>
      <w:r w:rsidRPr="00EF0E29">
        <w:t xml:space="preserve">For more information see Chapter </w:t>
      </w:r>
      <w:r w:rsidR="00EF0E29" w:rsidRPr="00EF0E29">
        <w:t>9</w:t>
      </w:r>
      <w:r w:rsidRPr="00EF0E29">
        <w:t xml:space="preserve">: </w:t>
      </w:r>
      <w:r w:rsidR="00EF0E29" w:rsidRPr="00EF0E29">
        <w:t xml:space="preserve"> QA Cross-cutting Systems and Process (NTIP, TB GIMS, and Cohort Review)</w:t>
      </w:r>
    </w:p>
    <w:sectPr w:rsidR="00B7526F" w:rsidRPr="00EF0E29" w:rsidSect="00EE69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32" w:rsidRDefault="00C15C32" w:rsidP="00EB41C4">
      <w:pPr>
        <w:spacing w:after="0" w:line="240" w:lineRule="auto"/>
      </w:pPr>
      <w:r>
        <w:separator/>
      </w:r>
    </w:p>
  </w:endnote>
  <w:endnote w:type="continuationSeparator" w:id="0">
    <w:p w:rsidR="00C15C32" w:rsidRDefault="00C15C32" w:rsidP="00E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657"/>
      <w:docPartObj>
        <w:docPartGallery w:val="Page Numbers (Bottom of Page)"/>
        <w:docPartUnique/>
      </w:docPartObj>
    </w:sdtPr>
    <w:sdtEndPr/>
    <w:sdtContent>
      <w:p w:rsidR="00C15C32" w:rsidRDefault="00C15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C32" w:rsidRDefault="00C15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32" w:rsidRDefault="00C15C32" w:rsidP="00EB41C4">
      <w:pPr>
        <w:spacing w:after="0" w:line="240" w:lineRule="auto"/>
      </w:pPr>
      <w:r>
        <w:separator/>
      </w:r>
    </w:p>
  </w:footnote>
  <w:footnote w:type="continuationSeparator" w:id="0">
    <w:p w:rsidR="00C15C32" w:rsidRDefault="00C15C32" w:rsidP="00EB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47"/>
    <w:multiLevelType w:val="hybridMultilevel"/>
    <w:tmpl w:val="9A0A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5B65"/>
    <w:multiLevelType w:val="hybridMultilevel"/>
    <w:tmpl w:val="D62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B9A"/>
    <w:multiLevelType w:val="hybridMultilevel"/>
    <w:tmpl w:val="C77A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D3C36"/>
    <w:multiLevelType w:val="hybridMultilevel"/>
    <w:tmpl w:val="6A48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925CC"/>
    <w:multiLevelType w:val="hybridMultilevel"/>
    <w:tmpl w:val="750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A6C18"/>
    <w:multiLevelType w:val="hybridMultilevel"/>
    <w:tmpl w:val="69A8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036DD"/>
    <w:multiLevelType w:val="hybridMultilevel"/>
    <w:tmpl w:val="143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414"/>
    <w:multiLevelType w:val="hybridMultilevel"/>
    <w:tmpl w:val="0CC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E6263"/>
    <w:multiLevelType w:val="hybridMultilevel"/>
    <w:tmpl w:val="9782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2413"/>
    <w:multiLevelType w:val="hybridMultilevel"/>
    <w:tmpl w:val="2EA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6FE"/>
    <w:multiLevelType w:val="hybridMultilevel"/>
    <w:tmpl w:val="E27E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659FD"/>
    <w:multiLevelType w:val="hybridMultilevel"/>
    <w:tmpl w:val="FF90E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95C01"/>
    <w:multiLevelType w:val="hybridMultilevel"/>
    <w:tmpl w:val="D1FEA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003F"/>
    <w:multiLevelType w:val="hybridMultilevel"/>
    <w:tmpl w:val="5FC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71B0"/>
    <w:multiLevelType w:val="hybridMultilevel"/>
    <w:tmpl w:val="8B6E7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6040E"/>
    <w:multiLevelType w:val="hybridMultilevel"/>
    <w:tmpl w:val="6BE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97FD2"/>
    <w:multiLevelType w:val="hybridMultilevel"/>
    <w:tmpl w:val="D2FA3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87076"/>
    <w:multiLevelType w:val="hybridMultilevel"/>
    <w:tmpl w:val="72B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223F5"/>
    <w:multiLevelType w:val="hybridMultilevel"/>
    <w:tmpl w:val="6848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43525"/>
    <w:multiLevelType w:val="hybridMultilevel"/>
    <w:tmpl w:val="286A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176D7E"/>
    <w:multiLevelType w:val="hybridMultilevel"/>
    <w:tmpl w:val="9334A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2674B"/>
    <w:multiLevelType w:val="hybridMultilevel"/>
    <w:tmpl w:val="01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839FA"/>
    <w:multiLevelType w:val="hybridMultilevel"/>
    <w:tmpl w:val="E6FA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358BD"/>
    <w:multiLevelType w:val="hybridMultilevel"/>
    <w:tmpl w:val="01A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12DA"/>
    <w:multiLevelType w:val="hybridMultilevel"/>
    <w:tmpl w:val="E918B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A04E96"/>
    <w:multiLevelType w:val="hybridMultilevel"/>
    <w:tmpl w:val="00F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C2EBE"/>
    <w:multiLevelType w:val="hybridMultilevel"/>
    <w:tmpl w:val="CCCE761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49476EED"/>
    <w:multiLevelType w:val="hybridMultilevel"/>
    <w:tmpl w:val="63C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82006"/>
    <w:multiLevelType w:val="hybridMultilevel"/>
    <w:tmpl w:val="5DBE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DC1E9F"/>
    <w:multiLevelType w:val="hybridMultilevel"/>
    <w:tmpl w:val="FD06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7C23EA"/>
    <w:multiLevelType w:val="hybridMultilevel"/>
    <w:tmpl w:val="FDF2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7B6AB6"/>
    <w:multiLevelType w:val="hybridMultilevel"/>
    <w:tmpl w:val="2B12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DE52C2"/>
    <w:multiLevelType w:val="hybridMultilevel"/>
    <w:tmpl w:val="4C1C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38323F"/>
    <w:multiLevelType w:val="hybridMultilevel"/>
    <w:tmpl w:val="ABAC9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A3763"/>
    <w:multiLevelType w:val="hybridMultilevel"/>
    <w:tmpl w:val="2E58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AE7DAD"/>
    <w:multiLevelType w:val="hybridMultilevel"/>
    <w:tmpl w:val="5E6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771F"/>
    <w:multiLevelType w:val="hybridMultilevel"/>
    <w:tmpl w:val="68481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D7121B"/>
    <w:multiLevelType w:val="hybridMultilevel"/>
    <w:tmpl w:val="B7D2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86896"/>
    <w:multiLevelType w:val="hybridMultilevel"/>
    <w:tmpl w:val="26A2A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3"/>
  </w:num>
  <w:num w:numId="5">
    <w:abstractNumId w:val="15"/>
  </w:num>
  <w:num w:numId="6">
    <w:abstractNumId w:val="21"/>
  </w:num>
  <w:num w:numId="7">
    <w:abstractNumId w:val="35"/>
  </w:num>
  <w:num w:numId="8">
    <w:abstractNumId w:val="6"/>
  </w:num>
  <w:num w:numId="9">
    <w:abstractNumId w:val="9"/>
  </w:num>
  <w:num w:numId="10">
    <w:abstractNumId w:val="1"/>
  </w:num>
  <w:num w:numId="11">
    <w:abstractNumId w:val="27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  <w:num w:numId="16">
    <w:abstractNumId w:val="29"/>
  </w:num>
  <w:num w:numId="17">
    <w:abstractNumId w:val="22"/>
  </w:num>
  <w:num w:numId="18">
    <w:abstractNumId w:val="26"/>
  </w:num>
  <w:num w:numId="19">
    <w:abstractNumId w:val="37"/>
  </w:num>
  <w:num w:numId="20">
    <w:abstractNumId w:val="38"/>
  </w:num>
  <w:num w:numId="21">
    <w:abstractNumId w:val="11"/>
  </w:num>
  <w:num w:numId="22">
    <w:abstractNumId w:val="36"/>
  </w:num>
  <w:num w:numId="23">
    <w:abstractNumId w:val="2"/>
  </w:num>
  <w:num w:numId="24">
    <w:abstractNumId w:val="32"/>
  </w:num>
  <w:num w:numId="25">
    <w:abstractNumId w:val="20"/>
  </w:num>
  <w:num w:numId="26">
    <w:abstractNumId w:val="30"/>
  </w:num>
  <w:num w:numId="27">
    <w:abstractNumId w:val="14"/>
  </w:num>
  <w:num w:numId="28">
    <w:abstractNumId w:val="12"/>
  </w:num>
  <w:num w:numId="29">
    <w:abstractNumId w:val="31"/>
  </w:num>
  <w:num w:numId="30">
    <w:abstractNumId w:val="28"/>
  </w:num>
  <w:num w:numId="31">
    <w:abstractNumId w:val="33"/>
  </w:num>
  <w:num w:numId="32">
    <w:abstractNumId w:val="5"/>
  </w:num>
  <w:num w:numId="33">
    <w:abstractNumId w:val="19"/>
  </w:num>
  <w:num w:numId="34">
    <w:abstractNumId w:val="24"/>
  </w:num>
  <w:num w:numId="35">
    <w:abstractNumId w:val="4"/>
  </w:num>
  <w:num w:numId="36">
    <w:abstractNumId w:val="18"/>
  </w:num>
  <w:num w:numId="37">
    <w:abstractNumId w:val="34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6C"/>
    <w:rsid w:val="00006897"/>
    <w:rsid w:val="000359B2"/>
    <w:rsid w:val="00050D75"/>
    <w:rsid w:val="0006116E"/>
    <w:rsid w:val="000644B7"/>
    <w:rsid w:val="00066EC1"/>
    <w:rsid w:val="00070FA0"/>
    <w:rsid w:val="0008498A"/>
    <w:rsid w:val="000A7AF8"/>
    <w:rsid w:val="000B4F67"/>
    <w:rsid w:val="000C6B40"/>
    <w:rsid w:val="000E3FA7"/>
    <w:rsid w:val="00120437"/>
    <w:rsid w:val="0017064F"/>
    <w:rsid w:val="00172CAF"/>
    <w:rsid w:val="0017426F"/>
    <w:rsid w:val="00181A0D"/>
    <w:rsid w:val="00191132"/>
    <w:rsid w:val="001D48E9"/>
    <w:rsid w:val="001F331F"/>
    <w:rsid w:val="00204993"/>
    <w:rsid w:val="00204A03"/>
    <w:rsid w:val="00250118"/>
    <w:rsid w:val="00255A5D"/>
    <w:rsid w:val="0026051A"/>
    <w:rsid w:val="00290E07"/>
    <w:rsid w:val="00293159"/>
    <w:rsid w:val="002B4A74"/>
    <w:rsid w:val="002D39F3"/>
    <w:rsid w:val="00331306"/>
    <w:rsid w:val="00332739"/>
    <w:rsid w:val="003531AB"/>
    <w:rsid w:val="00363214"/>
    <w:rsid w:val="003636BB"/>
    <w:rsid w:val="00363C87"/>
    <w:rsid w:val="00377403"/>
    <w:rsid w:val="003A2D14"/>
    <w:rsid w:val="003B43DD"/>
    <w:rsid w:val="003F59D8"/>
    <w:rsid w:val="004477A3"/>
    <w:rsid w:val="00460279"/>
    <w:rsid w:val="00463728"/>
    <w:rsid w:val="004660E7"/>
    <w:rsid w:val="00466D03"/>
    <w:rsid w:val="00472FB9"/>
    <w:rsid w:val="00481846"/>
    <w:rsid w:val="004A1526"/>
    <w:rsid w:val="004A4DDA"/>
    <w:rsid w:val="004C01CD"/>
    <w:rsid w:val="004C62C8"/>
    <w:rsid w:val="004D2E6C"/>
    <w:rsid w:val="004D68DF"/>
    <w:rsid w:val="004D6F16"/>
    <w:rsid w:val="004E2C7B"/>
    <w:rsid w:val="00502DE2"/>
    <w:rsid w:val="005167CE"/>
    <w:rsid w:val="00530B09"/>
    <w:rsid w:val="00543E94"/>
    <w:rsid w:val="005472FF"/>
    <w:rsid w:val="005538D7"/>
    <w:rsid w:val="00572021"/>
    <w:rsid w:val="00583A32"/>
    <w:rsid w:val="00586E6E"/>
    <w:rsid w:val="005B636C"/>
    <w:rsid w:val="005E1084"/>
    <w:rsid w:val="005E7819"/>
    <w:rsid w:val="00601DED"/>
    <w:rsid w:val="006060A6"/>
    <w:rsid w:val="00653AD2"/>
    <w:rsid w:val="00670D7C"/>
    <w:rsid w:val="00672DC7"/>
    <w:rsid w:val="00674883"/>
    <w:rsid w:val="00683997"/>
    <w:rsid w:val="00690FB4"/>
    <w:rsid w:val="006A2A60"/>
    <w:rsid w:val="006C3A04"/>
    <w:rsid w:val="006C444E"/>
    <w:rsid w:val="006D0261"/>
    <w:rsid w:val="006D3B0B"/>
    <w:rsid w:val="006F2A5B"/>
    <w:rsid w:val="0071790C"/>
    <w:rsid w:val="00726505"/>
    <w:rsid w:val="00740B64"/>
    <w:rsid w:val="00763BA2"/>
    <w:rsid w:val="00764D6D"/>
    <w:rsid w:val="0076758D"/>
    <w:rsid w:val="00776741"/>
    <w:rsid w:val="00792F85"/>
    <w:rsid w:val="007C5F90"/>
    <w:rsid w:val="007D6B51"/>
    <w:rsid w:val="007F01A7"/>
    <w:rsid w:val="007F3592"/>
    <w:rsid w:val="00815771"/>
    <w:rsid w:val="008325AD"/>
    <w:rsid w:val="00833363"/>
    <w:rsid w:val="00856C07"/>
    <w:rsid w:val="008858E5"/>
    <w:rsid w:val="00893A06"/>
    <w:rsid w:val="008A3481"/>
    <w:rsid w:val="008B20D4"/>
    <w:rsid w:val="008B6EAB"/>
    <w:rsid w:val="008D269D"/>
    <w:rsid w:val="0091235B"/>
    <w:rsid w:val="009160F7"/>
    <w:rsid w:val="009161D2"/>
    <w:rsid w:val="00916EFD"/>
    <w:rsid w:val="009170AA"/>
    <w:rsid w:val="00941674"/>
    <w:rsid w:val="00942406"/>
    <w:rsid w:val="009915D8"/>
    <w:rsid w:val="009A5981"/>
    <w:rsid w:val="009B25E6"/>
    <w:rsid w:val="009B4849"/>
    <w:rsid w:val="009C76FD"/>
    <w:rsid w:val="009D5166"/>
    <w:rsid w:val="009D6D2F"/>
    <w:rsid w:val="009E5429"/>
    <w:rsid w:val="00A01D89"/>
    <w:rsid w:val="00A0776E"/>
    <w:rsid w:val="00A14BB7"/>
    <w:rsid w:val="00A30D69"/>
    <w:rsid w:val="00A52BC8"/>
    <w:rsid w:val="00A638F5"/>
    <w:rsid w:val="00A91CEC"/>
    <w:rsid w:val="00AA14D5"/>
    <w:rsid w:val="00AC023F"/>
    <w:rsid w:val="00AE3666"/>
    <w:rsid w:val="00AF08F2"/>
    <w:rsid w:val="00B20E80"/>
    <w:rsid w:val="00B224C8"/>
    <w:rsid w:val="00B27B2D"/>
    <w:rsid w:val="00B359DC"/>
    <w:rsid w:val="00B36B87"/>
    <w:rsid w:val="00B423FB"/>
    <w:rsid w:val="00B464C0"/>
    <w:rsid w:val="00B73642"/>
    <w:rsid w:val="00B7526F"/>
    <w:rsid w:val="00B91941"/>
    <w:rsid w:val="00B96AC2"/>
    <w:rsid w:val="00BB248F"/>
    <w:rsid w:val="00BB7979"/>
    <w:rsid w:val="00BB7B83"/>
    <w:rsid w:val="00BC6168"/>
    <w:rsid w:val="00BD267D"/>
    <w:rsid w:val="00BE1799"/>
    <w:rsid w:val="00C00679"/>
    <w:rsid w:val="00C11402"/>
    <w:rsid w:val="00C15C32"/>
    <w:rsid w:val="00C335AE"/>
    <w:rsid w:val="00C3585D"/>
    <w:rsid w:val="00C37ACC"/>
    <w:rsid w:val="00C67FA2"/>
    <w:rsid w:val="00CB6783"/>
    <w:rsid w:val="00CC04FA"/>
    <w:rsid w:val="00CC36EF"/>
    <w:rsid w:val="00CE6088"/>
    <w:rsid w:val="00D0098F"/>
    <w:rsid w:val="00D04FE9"/>
    <w:rsid w:val="00D230A2"/>
    <w:rsid w:val="00D23609"/>
    <w:rsid w:val="00D27329"/>
    <w:rsid w:val="00D41EFC"/>
    <w:rsid w:val="00D557A9"/>
    <w:rsid w:val="00D66508"/>
    <w:rsid w:val="00DA6959"/>
    <w:rsid w:val="00DD2C46"/>
    <w:rsid w:val="00DD54AA"/>
    <w:rsid w:val="00DE1DB0"/>
    <w:rsid w:val="00DF22BF"/>
    <w:rsid w:val="00DF38FA"/>
    <w:rsid w:val="00DF3CB6"/>
    <w:rsid w:val="00E01F91"/>
    <w:rsid w:val="00E02408"/>
    <w:rsid w:val="00E2041B"/>
    <w:rsid w:val="00E27B8B"/>
    <w:rsid w:val="00E34215"/>
    <w:rsid w:val="00E35709"/>
    <w:rsid w:val="00E468D3"/>
    <w:rsid w:val="00E62E55"/>
    <w:rsid w:val="00E73C3D"/>
    <w:rsid w:val="00E7426C"/>
    <w:rsid w:val="00E845F2"/>
    <w:rsid w:val="00EA13E0"/>
    <w:rsid w:val="00EA448C"/>
    <w:rsid w:val="00EB41C4"/>
    <w:rsid w:val="00ED4DEB"/>
    <w:rsid w:val="00EE1541"/>
    <w:rsid w:val="00EE694B"/>
    <w:rsid w:val="00EF0E29"/>
    <w:rsid w:val="00EF3FD6"/>
    <w:rsid w:val="00F13940"/>
    <w:rsid w:val="00F42590"/>
    <w:rsid w:val="00F500BA"/>
    <w:rsid w:val="00F54D4B"/>
    <w:rsid w:val="00F62707"/>
    <w:rsid w:val="00F82103"/>
    <w:rsid w:val="00F84A03"/>
    <w:rsid w:val="00F971AA"/>
    <w:rsid w:val="00FA7AC8"/>
    <w:rsid w:val="00FB0B06"/>
    <w:rsid w:val="00FB187A"/>
    <w:rsid w:val="00FC751B"/>
    <w:rsid w:val="00FD03BB"/>
    <w:rsid w:val="00FE2E01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</dc:creator>
  <cp:keywords/>
  <dc:description/>
  <cp:lastModifiedBy>CDC User</cp:lastModifiedBy>
  <cp:revision>16</cp:revision>
  <cp:lastPrinted>2011-07-29T18:15:00Z</cp:lastPrinted>
  <dcterms:created xsi:type="dcterms:W3CDTF">2011-08-18T20:13:00Z</dcterms:created>
  <dcterms:modified xsi:type="dcterms:W3CDTF">2013-09-05T17:31:00Z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2019-04-26T01:58:16.1869389Z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