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41" w:rsidRDefault="00584741" w:rsidP="00584741">
      <w:pPr>
        <w:jc w:val="right"/>
        <w:rPr>
          <w:b/>
          <w:bCs/>
          <w:sz w:val="28"/>
          <w:szCs w:val="28"/>
        </w:rPr>
      </w:pPr>
      <w:r>
        <w:rPr>
          <w:b/>
          <w:sz w:val="20"/>
          <w:szCs w:val="20"/>
        </w:rPr>
        <w:t>Case Detection Tool - 6</w:t>
      </w:r>
    </w:p>
    <w:p w:rsidR="00DF6859" w:rsidRPr="00DF6859" w:rsidRDefault="00DF6859" w:rsidP="00DF6859">
      <w:pPr>
        <w:jc w:val="center"/>
        <w:rPr>
          <w:b/>
          <w:sz w:val="28"/>
          <w:szCs w:val="28"/>
        </w:rPr>
      </w:pPr>
      <w:r w:rsidRPr="00DF6859">
        <w:rPr>
          <w:b/>
          <w:bCs/>
          <w:sz w:val="28"/>
          <w:szCs w:val="28"/>
        </w:rPr>
        <w:t>Investigation Process for Underreporting of TB</w:t>
      </w:r>
    </w:p>
    <w:p w:rsidR="006D58EF" w:rsidRPr="0055651A" w:rsidRDefault="00DF6859" w:rsidP="00F14D9D">
      <w:pPr>
        <w:jc w:val="center"/>
        <w:rPr>
          <w:b/>
          <w:sz w:val="28"/>
          <w:szCs w:val="28"/>
        </w:rPr>
      </w:pPr>
      <w:r>
        <w:rPr>
          <w:b/>
          <w:sz w:val="28"/>
          <w:szCs w:val="28"/>
        </w:rPr>
        <w:t xml:space="preserve">for </w:t>
      </w:r>
      <w:r w:rsidR="00F14D9D" w:rsidRPr="0055651A">
        <w:rPr>
          <w:b/>
          <w:sz w:val="28"/>
          <w:szCs w:val="28"/>
        </w:rPr>
        <w:t>Quality Assurance for TB Surveillance Data</w:t>
      </w:r>
    </w:p>
    <w:p w:rsidR="00674566" w:rsidRDefault="00674566" w:rsidP="00584741">
      <w:pPr>
        <w:rPr>
          <w:b/>
          <w:sz w:val="28"/>
          <w:szCs w:val="28"/>
        </w:rPr>
      </w:pPr>
    </w:p>
    <w:p w:rsidR="00BE67CB" w:rsidRDefault="00584741" w:rsidP="00584741">
      <w:pPr>
        <w:rPr>
          <w:b/>
          <w:sz w:val="28"/>
          <w:szCs w:val="28"/>
        </w:rPr>
      </w:pPr>
      <w:r>
        <w:rPr>
          <w:b/>
          <w:sz w:val="28"/>
          <w:szCs w:val="28"/>
        </w:rPr>
        <w:t xml:space="preserve">                                                      </w:t>
      </w:r>
      <w:r w:rsidR="00F14D9D" w:rsidRPr="00DF6859">
        <w:rPr>
          <w:b/>
          <w:sz w:val="28"/>
          <w:szCs w:val="28"/>
        </w:rPr>
        <w:t>Case Detection</w:t>
      </w:r>
    </w:p>
    <w:p w:rsidR="00F14D9D" w:rsidRPr="00BE67CB" w:rsidRDefault="00DF6859" w:rsidP="00584741">
      <w:pPr>
        <w:rPr>
          <w:b/>
          <w:sz w:val="28"/>
          <w:szCs w:val="28"/>
        </w:rPr>
      </w:pPr>
      <w:r>
        <w:rPr>
          <w:b/>
          <w:sz w:val="28"/>
          <w:szCs w:val="28"/>
        </w:rPr>
        <w:t xml:space="preserve">   </w:t>
      </w:r>
    </w:p>
    <w:tbl>
      <w:tblPr>
        <w:tblStyle w:val="TableGrid"/>
        <w:tblW w:w="9198" w:type="dxa"/>
        <w:jc w:val="center"/>
        <w:tblLook w:val="04A0" w:firstRow="1" w:lastRow="0" w:firstColumn="1" w:lastColumn="0" w:noHBand="0" w:noVBand="1"/>
      </w:tblPr>
      <w:tblGrid>
        <w:gridCol w:w="9198"/>
      </w:tblGrid>
      <w:tr w:rsidR="00584741" w:rsidRPr="00630261" w:rsidTr="00584741">
        <w:trPr>
          <w:cantSplit/>
          <w:tblHeader/>
          <w:jc w:val="center"/>
        </w:trPr>
        <w:tc>
          <w:tcPr>
            <w:tcW w:w="9198" w:type="dxa"/>
            <w:tcBorders>
              <w:right w:val="single" w:sz="4" w:space="0" w:color="auto"/>
            </w:tcBorders>
            <w:shd w:val="clear" w:color="auto" w:fill="D9D9D9" w:themeFill="background1" w:themeFillShade="D9"/>
          </w:tcPr>
          <w:p w:rsidR="00584741" w:rsidRPr="00584741" w:rsidRDefault="00584741" w:rsidP="006D58EF">
            <w:pPr>
              <w:jc w:val="center"/>
              <w:rPr>
                <w:b/>
                <w:sz w:val="28"/>
                <w:szCs w:val="28"/>
              </w:rPr>
            </w:pPr>
            <w:r w:rsidRPr="00584741">
              <w:rPr>
                <w:b/>
                <w:sz w:val="28"/>
                <w:szCs w:val="28"/>
              </w:rPr>
              <w:t>Within the Public Health System</w:t>
            </w:r>
          </w:p>
        </w:tc>
      </w:tr>
      <w:tr w:rsidR="00584741" w:rsidRPr="00630261" w:rsidTr="00584741">
        <w:trPr>
          <w:cantSplit/>
          <w:jc w:val="center"/>
        </w:trPr>
        <w:tc>
          <w:tcPr>
            <w:tcW w:w="9198" w:type="dxa"/>
            <w:tcBorders>
              <w:right w:val="single" w:sz="4" w:space="0" w:color="auto"/>
            </w:tcBorders>
            <w:shd w:val="clear" w:color="auto" w:fill="D9D9D9" w:themeFill="background1" w:themeFillShade="D9"/>
          </w:tcPr>
          <w:p w:rsidR="00584741" w:rsidRPr="00584741" w:rsidRDefault="00584741" w:rsidP="0093425A">
            <w:pPr>
              <w:rPr>
                <w:b/>
              </w:rPr>
            </w:pPr>
            <w:r w:rsidRPr="00584741">
              <w:rPr>
                <w:b/>
              </w:rPr>
              <w:t xml:space="preserve">Due to delays or disruptions in flow of TB surveillance information from the local level to the state, and from the state level to CDC. </w:t>
            </w:r>
          </w:p>
        </w:tc>
      </w:tr>
      <w:tr w:rsidR="00584741" w:rsidRPr="00630261" w:rsidTr="00584741">
        <w:trPr>
          <w:cantSplit/>
          <w:trHeight w:val="332"/>
          <w:tblHeader/>
          <w:jc w:val="center"/>
        </w:trPr>
        <w:tc>
          <w:tcPr>
            <w:tcW w:w="9198" w:type="dxa"/>
            <w:tcBorders>
              <w:right w:val="single" w:sz="4" w:space="0" w:color="auto"/>
            </w:tcBorders>
          </w:tcPr>
          <w:p w:rsidR="00584741" w:rsidRDefault="00584741" w:rsidP="005B3051">
            <w:r w:rsidRPr="00584741">
              <w:t>Interview TB staff to identify delays in reporting and counting, and changes in resources.</w:t>
            </w:r>
          </w:p>
          <w:p w:rsidR="00584741" w:rsidRPr="00584741" w:rsidRDefault="00584741" w:rsidP="005B3051"/>
        </w:tc>
      </w:tr>
      <w:tr w:rsidR="00584741" w:rsidRPr="00630261" w:rsidTr="00584741">
        <w:trPr>
          <w:cantSplit/>
          <w:trHeight w:val="341"/>
          <w:tblHeader/>
          <w:jc w:val="center"/>
        </w:trPr>
        <w:tc>
          <w:tcPr>
            <w:tcW w:w="9198" w:type="dxa"/>
            <w:tcBorders>
              <w:right w:val="single" w:sz="4" w:space="0" w:color="auto"/>
            </w:tcBorders>
          </w:tcPr>
          <w:p w:rsidR="00584741" w:rsidRDefault="00584741" w:rsidP="005B3051">
            <w:r w:rsidRPr="00584741">
              <w:t>Compare counts of TB cases known to the county (or reporting district) versus cases known to state and CDC.</w:t>
            </w:r>
          </w:p>
          <w:p w:rsidR="00584741" w:rsidRPr="00584741" w:rsidRDefault="00584741" w:rsidP="005B3051"/>
        </w:tc>
      </w:tr>
      <w:tr w:rsidR="00584741" w:rsidRPr="00630261" w:rsidTr="00584741">
        <w:trPr>
          <w:cantSplit/>
          <w:trHeight w:val="413"/>
          <w:tblHeader/>
          <w:jc w:val="center"/>
        </w:trPr>
        <w:tc>
          <w:tcPr>
            <w:tcW w:w="9198" w:type="dxa"/>
            <w:tcBorders>
              <w:right w:val="single" w:sz="4" w:space="0" w:color="auto"/>
            </w:tcBorders>
          </w:tcPr>
          <w:p w:rsidR="00584741" w:rsidRDefault="00584741" w:rsidP="005B3051">
            <w:r w:rsidRPr="00584741">
              <w:t>Review paper charts and lab data of suspect TB cases awaiting case verification.</w:t>
            </w:r>
          </w:p>
          <w:p w:rsidR="00584741" w:rsidRPr="00584741" w:rsidRDefault="00584741" w:rsidP="005B3051"/>
        </w:tc>
      </w:tr>
      <w:tr w:rsidR="00584741" w:rsidRPr="00630261" w:rsidTr="00584741">
        <w:trPr>
          <w:cantSplit/>
          <w:trHeight w:val="2375"/>
          <w:tblHeader/>
          <w:jc w:val="center"/>
        </w:trPr>
        <w:tc>
          <w:tcPr>
            <w:tcW w:w="9198" w:type="dxa"/>
            <w:tcBorders>
              <w:right w:val="single" w:sz="4" w:space="0" w:color="auto"/>
            </w:tcBorders>
          </w:tcPr>
          <w:p w:rsidR="00584741" w:rsidRPr="00584741" w:rsidRDefault="00584741" w:rsidP="0093425A">
            <w:r w:rsidRPr="00584741">
              <w:t>Conduct system queries and analyses of all reported (i.e., suspect, verified, and counted) cases during the affected year to identify</w:t>
            </w:r>
          </w:p>
          <w:p w:rsidR="00584741" w:rsidRPr="00584741" w:rsidRDefault="00584741" w:rsidP="0093425A"/>
          <w:p w:rsidR="00584741" w:rsidRPr="00584741" w:rsidRDefault="00584741" w:rsidP="0093425A">
            <w:pPr>
              <w:pStyle w:val="ListParagraph"/>
              <w:numPr>
                <w:ilvl w:val="0"/>
                <w:numId w:val="19"/>
              </w:numPr>
              <w:spacing w:line="240" w:lineRule="auto"/>
              <w:ind w:left="360"/>
              <w:rPr>
                <w:b w:val="0"/>
              </w:rPr>
            </w:pPr>
            <w:r w:rsidRPr="00584741">
              <w:rPr>
                <w:b w:val="0"/>
              </w:rPr>
              <w:t>Suspect cases still awaiting verification &gt;90 days since first reported;</w:t>
            </w:r>
          </w:p>
          <w:p w:rsidR="00584741" w:rsidRPr="00584741" w:rsidRDefault="00584741" w:rsidP="0093425A">
            <w:pPr>
              <w:pStyle w:val="ListParagraph"/>
              <w:numPr>
                <w:ilvl w:val="0"/>
                <w:numId w:val="19"/>
              </w:numPr>
              <w:spacing w:line="240" w:lineRule="auto"/>
              <w:ind w:left="360"/>
              <w:rPr>
                <w:b w:val="0"/>
              </w:rPr>
            </w:pPr>
            <w:r w:rsidRPr="00584741">
              <w:rPr>
                <w:b w:val="0"/>
              </w:rPr>
              <w:t>Cases awaiting to be counted;</w:t>
            </w:r>
          </w:p>
          <w:p w:rsidR="00584741" w:rsidRPr="00584741" w:rsidRDefault="00584741" w:rsidP="0093425A">
            <w:pPr>
              <w:pStyle w:val="ListParagraph"/>
              <w:numPr>
                <w:ilvl w:val="0"/>
                <w:numId w:val="19"/>
              </w:numPr>
              <w:spacing w:line="240" w:lineRule="auto"/>
              <w:ind w:left="360"/>
              <w:rPr>
                <w:b w:val="0"/>
              </w:rPr>
            </w:pPr>
            <w:r w:rsidRPr="00584741">
              <w:rPr>
                <w:b w:val="0"/>
              </w:rPr>
              <w:t>The percentage and monthly trend of counted cases during the affected year;</w:t>
            </w:r>
          </w:p>
          <w:p w:rsidR="00584741" w:rsidRPr="00584741" w:rsidRDefault="00584741" w:rsidP="00584741">
            <w:pPr>
              <w:pStyle w:val="ListParagraph"/>
              <w:numPr>
                <w:ilvl w:val="0"/>
                <w:numId w:val="19"/>
              </w:numPr>
              <w:spacing w:line="240" w:lineRule="auto"/>
              <w:ind w:left="360"/>
              <w:rPr>
                <w:b w:val="0"/>
              </w:rPr>
            </w:pPr>
            <w:r w:rsidRPr="00584741">
              <w:rPr>
                <w:b w:val="0"/>
              </w:rPr>
              <w:t>Delays in counting (i.e., mean number of days between “record entry date” and “count entry date”).</w:t>
            </w:r>
          </w:p>
        </w:tc>
      </w:tr>
      <w:tr w:rsidR="00584741" w:rsidRPr="00630261" w:rsidTr="00584741">
        <w:trPr>
          <w:cantSplit/>
          <w:tblHeader/>
          <w:jc w:val="center"/>
        </w:trPr>
        <w:tc>
          <w:tcPr>
            <w:tcW w:w="9198" w:type="dxa"/>
            <w:tcBorders>
              <w:right w:val="single" w:sz="4" w:space="0" w:color="auto"/>
            </w:tcBorders>
          </w:tcPr>
          <w:p w:rsidR="00584741" w:rsidRDefault="00584741" w:rsidP="00EF4E04">
            <w:r w:rsidRPr="00584741">
              <w:t xml:space="preserve">Develop and email surveys to the counties with &gt;3 case decline for the affected year to identify discrepancies in the numbers of counted and suspect TB cases between county and state records. Verify survey results by phone. </w:t>
            </w:r>
          </w:p>
          <w:p w:rsidR="00584741" w:rsidRPr="00584741" w:rsidRDefault="00584741" w:rsidP="00EF4E04"/>
        </w:tc>
      </w:tr>
      <w:tr w:rsidR="00584741" w:rsidRPr="00630261" w:rsidTr="00584741">
        <w:trPr>
          <w:cantSplit/>
          <w:trHeight w:val="276"/>
          <w:tblHeader/>
          <w:jc w:val="center"/>
        </w:trPr>
        <w:tc>
          <w:tcPr>
            <w:tcW w:w="9198" w:type="dxa"/>
            <w:vMerge w:val="restart"/>
            <w:tcBorders>
              <w:right w:val="single" w:sz="4" w:space="0" w:color="auto"/>
            </w:tcBorders>
          </w:tcPr>
          <w:p w:rsidR="00584741" w:rsidRDefault="00584741" w:rsidP="00EF4E04">
            <w:r w:rsidRPr="00584741">
              <w:t>Conduct site visits to local TB programs with the largest decline.  At site visits, interview staff to understand changes and challenges in routine reporting practices. In addition, compare state and county numbers of counted and suspect cases, and review charts of suspected TB cases still awaiting verification or not entered in the system.</w:t>
            </w:r>
          </w:p>
          <w:p w:rsidR="00584741" w:rsidRPr="00584741" w:rsidRDefault="00584741" w:rsidP="00EF4E04">
            <w:pPr>
              <w:rPr>
                <w:bCs/>
                <w:i/>
                <w:iCs/>
                <w:u w:val="single"/>
              </w:rPr>
            </w:pPr>
          </w:p>
        </w:tc>
      </w:tr>
      <w:tr w:rsidR="00584741" w:rsidRPr="00630261" w:rsidTr="00584741">
        <w:trPr>
          <w:cantSplit/>
          <w:trHeight w:val="253"/>
          <w:tblHeader/>
          <w:jc w:val="center"/>
        </w:trPr>
        <w:tc>
          <w:tcPr>
            <w:tcW w:w="9198" w:type="dxa"/>
            <w:vMerge/>
            <w:tcBorders>
              <w:right w:val="single" w:sz="4" w:space="0" w:color="auto"/>
            </w:tcBorders>
          </w:tcPr>
          <w:p w:rsidR="00584741" w:rsidRPr="0055651A" w:rsidRDefault="00584741" w:rsidP="00EF4E04">
            <w:pPr>
              <w:rPr>
                <w:bCs/>
                <w:i/>
                <w:iCs/>
                <w:sz w:val="22"/>
                <w:szCs w:val="22"/>
                <w:u w:val="single"/>
              </w:rPr>
            </w:pPr>
          </w:p>
        </w:tc>
      </w:tr>
    </w:tbl>
    <w:p w:rsidR="00F14D9D" w:rsidRDefault="00F14D9D" w:rsidP="00F14D9D">
      <w:pPr>
        <w:jc w:val="center"/>
        <w:rPr>
          <w:b/>
          <w:sz w:val="22"/>
          <w:szCs w:val="22"/>
        </w:rPr>
      </w:pPr>
    </w:p>
    <w:p w:rsidR="00584741" w:rsidRDefault="00584741" w:rsidP="00F14D9D">
      <w:pPr>
        <w:jc w:val="center"/>
        <w:rPr>
          <w:b/>
          <w:sz w:val="22"/>
          <w:szCs w:val="22"/>
        </w:rPr>
      </w:pPr>
    </w:p>
    <w:p w:rsidR="00584741" w:rsidRDefault="00584741">
      <w:pPr>
        <w:rPr>
          <w:b/>
          <w:sz w:val="32"/>
          <w:szCs w:val="32"/>
        </w:rPr>
      </w:pPr>
      <w:r>
        <w:rPr>
          <w:b/>
          <w:sz w:val="32"/>
          <w:szCs w:val="32"/>
        </w:rPr>
        <w:br w:type="page"/>
      </w:r>
    </w:p>
    <w:tbl>
      <w:tblPr>
        <w:tblStyle w:val="TableGrid"/>
        <w:tblW w:w="9198" w:type="dxa"/>
        <w:jc w:val="center"/>
        <w:tblLook w:val="04A0" w:firstRow="1" w:lastRow="0" w:firstColumn="1" w:lastColumn="0" w:noHBand="0" w:noVBand="1"/>
      </w:tblPr>
      <w:tblGrid>
        <w:gridCol w:w="9198"/>
      </w:tblGrid>
      <w:tr w:rsidR="00584741" w:rsidRPr="00630261" w:rsidTr="00584741">
        <w:trPr>
          <w:cantSplit/>
          <w:tblHeader/>
          <w:jc w:val="center"/>
        </w:trPr>
        <w:tc>
          <w:tcPr>
            <w:tcW w:w="9198" w:type="dxa"/>
            <w:tcBorders>
              <w:left w:val="single" w:sz="4" w:space="0" w:color="auto"/>
            </w:tcBorders>
            <w:shd w:val="clear" w:color="auto" w:fill="D9D9D9" w:themeFill="background1" w:themeFillShade="D9"/>
          </w:tcPr>
          <w:p w:rsidR="00584741" w:rsidRPr="001B27AF" w:rsidRDefault="00584741" w:rsidP="00EF6EA4">
            <w:pPr>
              <w:jc w:val="center"/>
              <w:rPr>
                <w:b/>
                <w:sz w:val="28"/>
                <w:szCs w:val="28"/>
              </w:rPr>
            </w:pPr>
            <w:bookmarkStart w:id="0" w:name="_GoBack" w:colFirst="1" w:colLast="1"/>
            <w:r>
              <w:rPr>
                <w:b/>
                <w:sz w:val="28"/>
                <w:szCs w:val="28"/>
              </w:rPr>
              <w:lastRenderedPageBreak/>
              <w:t>Into the Public Health System</w:t>
            </w:r>
          </w:p>
        </w:tc>
      </w:tr>
      <w:tr w:rsidR="00584741" w:rsidRPr="00630261" w:rsidTr="00584741">
        <w:trPr>
          <w:cantSplit/>
          <w:jc w:val="center"/>
        </w:trPr>
        <w:tc>
          <w:tcPr>
            <w:tcW w:w="9198" w:type="dxa"/>
            <w:tcBorders>
              <w:left w:val="single" w:sz="4" w:space="0" w:color="auto"/>
            </w:tcBorders>
            <w:shd w:val="clear" w:color="auto" w:fill="D9D9D9" w:themeFill="background1" w:themeFillShade="D9"/>
          </w:tcPr>
          <w:p w:rsidR="00584741" w:rsidRPr="00584741" w:rsidRDefault="00584741" w:rsidP="00EF6EA4">
            <w:pPr>
              <w:rPr>
                <w:b/>
              </w:rPr>
            </w:pPr>
            <w:r w:rsidRPr="00584741">
              <w:rPr>
                <w:b/>
                <w:bCs/>
              </w:rPr>
              <w:t xml:space="preserve">Due to absent reports from hospitals, other providers, and laboratories </w:t>
            </w:r>
          </w:p>
          <w:p w:rsidR="00584741" w:rsidRPr="00584741" w:rsidRDefault="00584741" w:rsidP="00EF6EA4">
            <w:pPr>
              <w:jc w:val="center"/>
              <w:rPr>
                <w:b/>
              </w:rPr>
            </w:pPr>
          </w:p>
        </w:tc>
      </w:tr>
      <w:tr w:rsidR="00584741" w:rsidRPr="00630261" w:rsidTr="00584741">
        <w:trPr>
          <w:cantSplit/>
          <w:trHeight w:val="539"/>
          <w:tblHeader/>
          <w:jc w:val="center"/>
        </w:trPr>
        <w:tc>
          <w:tcPr>
            <w:tcW w:w="9198" w:type="dxa"/>
            <w:vMerge w:val="restart"/>
            <w:tcBorders>
              <w:left w:val="single" w:sz="4" w:space="0" w:color="auto"/>
            </w:tcBorders>
          </w:tcPr>
          <w:p w:rsidR="00584741" w:rsidRPr="00584741" w:rsidRDefault="00584741" w:rsidP="00EF6EA4">
            <w:r w:rsidRPr="00584741">
              <w:t>Crossmatch patients with TB diagnosis based on hospital and laboratory data for the affected year with the system database of all reported cases during the affected period.</w:t>
            </w:r>
          </w:p>
          <w:p w:rsidR="00584741" w:rsidRPr="00584741" w:rsidRDefault="00584741" w:rsidP="00EF6EA4">
            <w:pPr>
              <w:jc w:val="center"/>
              <w:rPr>
                <w:b/>
              </w:rPr>
            </w:pPr>
          </w:p>
          <w:p w:rsidR="00584741" w:rsidRPr="00584741" w:rsidRDefault="00584741" w:rsidP="00EF6EA4">
            <w:pPr>
              <w:pStyle w:val="ListParagraph"/>
              <w:numPr>
                <w:ilvl w:val="0"/>
                <w:numId w:val="24"/>
              </w:numPr>
              <w:spacing w:line="240" w:lineRule="auto"/>
              <w:ind w:left="342" w:hanging="270"/>
            </w:pPr>
            <w:r w:rsidRPr="00584741">
              <w:t>Sources for Hospital data</w:t>
            </w:r>
          </w:p>
          <w:p w:rsidR="00584741" w:rsidRPr="00584741" w:rsidRDefault="00584741" w:rsidP="00EF6EA4">
            <w:pPr>
              <w:pStyle w:val="ListParagraph"/>
              <w:numPr>
                <w:ilvl w:val="1"/>
                <w:numId w:val="24"/>
              </w:numPr>
              <w:spacing w:line="240" w:lineRule="auto"/>
              <w:ind w:left="702"/>
              <w:rPr>
                <w:b w:val="0"/>
              </w:rPr>
            </w:pPr>
            <w:r w:rsidRPr="00584741">
              <w:rPr>
                <w:b w:val="0"/>
              </w:rPr>
              <w:t>Request hospitals to fax a list of patients diagnosed with TB at their facilities during the affected year.</w:t>
            </w:r>
          </w:p>
          <w:p w:rsidR="00584741" w:rsidRPr="00584741" w:rsidRDefault="00584741" w:rsidP="00EF6EA4">
            <w:pPr>
              <w:pStyle w:val="ListParagraph"/>
              <w:numPr>
                <w:ilvl w:val="1"/>
                <w:numId w:val="24"/>
              </w:numPr>
              <w:spacing w:line="240" w:lineRule="auto"/>
              <w:ind w:left="702"/>
              <w:rPr>
                <w:b w:val="0"/>
              </w:rPr>
            </w:pPr>
            <w:r w:rsidRPr="00584741">
              <w:rPr>
                <w:b w:val="0"/>
              </w:rPr>
              <w:t>Review hospital discharge database including patients discharged from any acute health care facility in the state during the affected year, with an ICD-9 consistent with active TB. Match with the system based on the first two letters of patients’ first name and last name, last two letters of the last name, and date of birth of present in the hospital discharge database.</w:t>
            </w:r>
          </w:p>
          <w:p w:rsidR="00584741" w:rsidRPr="00584741" w:rsidRDefault="00584741" w:rsidP="00EF6EA4">
            <w:pPr>
              <w:pStyle w:val="ListParagraph"/>
              <w:numPr>
                <w:ilvl w:val="0"/>
                <w:numId w:val="24"/>
              </w:numPr>
              <w:spacing w:line="240" w:lineRule="auto"/>
              <w:ind w:left="342" w:hanging="270"/>
            </w:pPr>
            <w:r w:rsidRPr="00584741">
              <w:t>Sources for laboratory data</w:t>
            </w:r>
          </w:p>
          <w:p w:rsidR="00584741" w:rsidRPr="00584741" w:rsidRDefault="00584741" w:rsidP="00EF6EA4">
            <w:pPr>
              <w:pStyle w:val="ListParagraph"/>
              <w:numPr>
                <w:ilvl w:val="1"/>
                <w:numId w:val="24"/>
              </w:numPr>
              <w:spacing w:line="240" w:lineRule="auto"/>
              <w:ind w:left="612" w:hanging="270"/>
              <w:rPr>
                <w:b w:val="0"/>
              </w:rPr>
            </w:pPr>
            <w:r w:rsidRPr="00584741">
              <w:rPr>
                <w:b w:val="0"/>
              </w:rPr>
              <w:t xml:space="preserve">Request the state lab and private labs to provide a list of all patients whose clinical (i.e., specimens without prior culturing process) or reference specimen had either a positive </w:t>
            </w:r>
            <w:r w:rsidRPr="00584741">
              <w:rPr>
                <w:b w:val="0"/>
                <w:i/>
                <w:iCs/>
              </w:rPr>
              <w:t xml:space="preserve">Mycobacterium tuberculosis </w:t>
            </w:r>
            <w:r w:rsidRPr="00584741">
              <w:rPr>
                <w:b w:val="0"/>
              </w:rPr>
              <w:t>(MTB) culture, a positive NAAT for MTB complex, an isolate identified as MTB, or a drug susceptibility test performed. The state can also provide a list of patients whose MTB isolates were only routed through the state lab for genotyping (by autonomous laboratories with capabilities to perform all TB tests except genotyping).</w:t>
            </w:r>
          </w:p>
        </w:tc>
      </w:tr>
      <w:tr w:rsidR="00584741" w:rsidRPr="00630261" w:rsidTr="00584741">
        <w:trPr>
          <w:cantSplit/>
          <w:trHeight w:val="341"/>
          <w:tblHeader/>
          <w:jc w:val="center"/>
        </w:trPr>
        <w:tc>
          <w:tcPr>
            <w:tcW w:w="9198" w:type="dxa"/>
            <w:vMerge/>
            <w:tcBorders>
              <w:left w:val="single" w:sz="4" w:space="0" w:color="auto"/>
            </w:tcBorders>
          </w:tcPr>
          <w:p w:rsidR="00584741" w:rsidRPr="00584741" w:rsidRDefault="00584741" w:rsidP="00EF6EA4"/>
        </w:tc>
      </w:tr>
      <w:tr w:rsidR="00584741" w:rsidRPr="00630261" w:rsidTr="00584741">
        <w:trPr>
          <w:cantSplit/>
          <w:trHeight w:val="548"/>
          <w:tblHeader/>
          <w:jc w:val="center"/>
        </w:trPr>
        <w:tc>
          <w:tcPr>
            <w:tcW w:w="9198" w:type="dxa"/>
            <w:vMerge/>
            <w:tcBorders>
              <w:left w:val="single" w:sz="4" w:space="0" w:color="auto"/>
            </w:tcBorders>
          </w:tcPr>
          <w:p w:rsidR="00584741" w:rsidRPr="00584741" w:rsidRDefault="00584741" w:rsidP="00EF6EA4"/>
        </w:tc>
      </w:tr>
      <w:tr w:rsidR="00584741" w:rsidRPr="00630261" w:rsidTr="00584741">
        <w:trPr>
          <w:cantSplit/>
          <w:trHeight w:val="2870"/>
          <w:tblHeader/>
          <w:jc w:val="center"/>
        </w:trPr>
        <w:tc>
          <w:tcPr>
            <w:tcW w:w="9198" w:type="dxa"/>
            <w:vMerge/>
            <w:tcBorders>
              <w:left w:val="single" w:sz="4" w:space="0" w:color="auto"/>
            </w:tcBorders>
          </w:tcPr>
          <w:p w:rsidR="00584741" w:rsidRPr="00584741" w:rsidRDefault="00584741" w:rsidP="00EF6EA4"/>
        </w:tc>
      </w:tr>
      <w:tr w:rsidR="00584741" w:rsidRPr="00630261" w:rsidTr="00584741">
        <w:trPr>
          <w:cantSplit/>
          <w:tblHeader/>
          <w:jc w:val="center"/>
        </w:trPr>
        <w:tc>
          <w:tcPr>
            <w:tcW w:w="9198" w:type="dxa"/>
            <w:tcBorders>
              <w:left w:val="single" w:sz="4" w:space="0" w:color="auto"/>
            </w:tcBorders>
          </w:tcPr>
          <w:p w:rsidR="00584741" w:rsidRDefault="00584741" w:rsidP="00EF6EA4">
            <w:r w:rsidRPr="00584741">
              <w:t xml:space="preserve">Develop plan for follow-up of unmatched patients from hospital and lab data. Prioritize  patients from the hospital discharge database not found in either system for follow-up (with the admitting hospitals) based on an ICD-9 codes most predictive for TB.  </w:t>
            </w:r>
          </w:p>
          <w:p w:rsidR="00584741" w:rsidRPr="00584741" w:rsidRDefault="00584741" w:rsidP="00EF6EA4"/>
        </w:tc>
      </w:tr>
      <w:tr w:rsidR="00584741" w:rsidRPr="00630261" w:rsidTr="00584741">
        <w:trPr>
          <w:cantSplit/>
          <w:tblHeader/>
          <w:jc w:val="center"/>
        </w:trPr>
        <w:tc>
          <w:tcPr>
            <w:tcW w:w="9198" w:type="dxa"/>
            <w:tcBorders>
              <w:left w:val="single" w:sz="4" w:space="0" w:color="auto"/>
            </w:tcBorders>
          </w:tcPr>
          <w:p w:rsidR="00584741" w:rsidRDefault="00584741" w:rsidP="00EF6EA4">
            <w:r w:rsidRPr="00584741">
              <w:t>Visit the state lab to assess changes in reporting practices and procedures.</w:t>
            </w:r>
          </w:p>
          <w:p w:rsidR="00584741" w:rsidRPr="00584741" w:rsidRDefault="00584741" w:rsidP="00EF6EA4"/>
        </w:tc>
      </w:tr>
      <w:tr w:rsidR="00584741" w:rsidRPr="00630261" w:rsidTr="00584741">
        <w:trPr>
          <w:cantSplit/>
          <w:tblHeader/>
          <w:jc w:val="center"/>
        </w:trPr>
        <w:tc>
          <w:tcPr>
            <w:tcW w:w="9198" w:type="dxa"/>
            <w:tcBorders>
              <w:left w:val="single" w:sz="4" w:space="0" w:color="auto"/>
            </w:tcBorders>
          </w:tcPr>
          <w:p w:rsidR="00584741" w:rsidRDefault="00584741" w:rsidP="00EF6EA4">
            <w:r w:rsidRPr="00584741">
              <w:t>Query surveillance systems to identify private providers (non-hospital) with &gt;3 case decline during the affected year.</w:t>
            </w:r>
          </w:p>
          <w:p w:rsidR="00584741" w:rsidRPr="00584741" w:rsidRDefault="00584741" w:rsidP="00EF6EA4"/>
        </w:tc>
      </w:tr>
      <w:bookmarkEnd w:id="0"/>
    </w:tbl>
    <w:p w:rsidR="00584741" w:rsidRPr="00630261" w:rsidRDefault="00584741" w:rsidP="00584741">
      <w:pPr>
        <w:jc w:val="center"/>
        <w:rPr>
          <w:b/>
          <w:sz w:val="22"/>
          <w:szCs w:val="22"/>
        </w:rPr>
      </w:pPr>
    </w:p>
    <w:p w:rsidR="00584741" w:rsidRPr="00630261" w:rsidRDefault="00584741" w:rsidP="00F14D9D">
      <w:pPr>
        <w:jc w:val="center"/>
        <w:rPr>
          <w:b/>
          <w:sz w:val="22"/>
          <w:szCs w:val="22"/>
        </w:rPr>
      </w:pPr>
    </w:p>
    <w:sectPr w:rsidR="00584741" w:rsidRPr="00630261" w:rsidSect="0058474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25A" w:rsidRDefault="0093425A" w:rsidP="00F14D9D">
      <w:pPr>
        <w:spacing w:line="240" w:lineRule="auto"/>
      </w:pPr>
      <w:r>
        <w:separator/>
      </w:r>
    </w:p>
  </w:endnote>
  <w:endnote w:type="continuationSeparator" w:id="0">
    <w:p w:rsidR="0093425A" w:rsidRDefault="0093425A" w:rsidP="00F14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2501"/>
      <w:docPartObj>
        <w:docPartGallery w:val="Page Numbers (Bottom of Page)"/>
        <w:docPartUnique/>
      </w:docPartObj>
    </w:sdtPr>
    <w:sdtEndPr/>
    <w:sdtContent>
      <w:p w:rsidR="0093425A" w:rsidRDefault="00FD3249">
        <w:pPr>
          <w:pStyle w:val="Footer"/>
          <w:jc w:val="center"/>
        </w:pPr>
        <w:r>
          <w:fldChar w:fldCharType="begin"/>
        </w:r>
        <w:r>
          <w:instrText xml:space="preserve"> PAGE   \* MERGEFORMAT </w:instrText>
        </w:r>
        <w:r>
          <w:fldChar w:fldCharType="separate"/>
        </w:r>
        <w:r w:rsidR="00BE67CB">
          <w:rPr>
            <w:noProof/>
          </w:rPr>
          <w:t>2</w:t>
        </w:r>
        <w:r>
          <w:rPr>
            <w:noProof/>
          </w:rPr>
          <w:fldChar w:fldCharType="end"/>
        </w:r>
      </w:p>
    </w:sdtContent>
  </w:sdt>
  <w:p w:rsidR="0093425A" w:rsidRDefault="00934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25A" w:rsidRDefault="0093425A" w:rsidP="00F14D9D">
      <w:pPr>
        <w:spacing w:line="240" w:lineRule="auto"/>
      </w:pPr>
      <w:r>
        <w:separator/>
      </w:r>
    </w:p>
  </w:footnote>
  <w:footnote w:type="continuationSeparator" w:id="0">
    <w:p w:rsidR="0093425A" w:rsidRDefault="0093425A" w:rsidP="00F14D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3637"/>
    <w:multiLevelType w:val="hybridMultilevel"/>
    <w:tmpl w:val="1D34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D05F5"/>
    <w:multiLevelType w:val="hybridMultilevel"/>
    <w:tmpl w:val="5CDCC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504ADF"/>
    <w:multiLevelType w:val="hybridMultilevel"/>
    <w:tmpl w:val="7188C75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nsid w:val="1B6768DA"/>
    <w:multiLevelType w:val="hybridMultilevel"/>
    <w:tmpl w:val="AFFCE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94611"/>
    <w:multiLevelType w:val="hybridMultilevel"/>
    <w:tmpl w:val="74A2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A2C42"/>
    <w:multiLevelType w:val="hybridMultilevel"/>
    <w:tmpl w:val="D332CB10"/>
    <w:lvl w:ilvl="0" w:tplc="6FE0689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360E8"/>
    <w:multiLevelType w:val="hybridMultilevel"/>
    <w:tmpl w:val="F916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EB1DD9"/>
    <w:multiLevelType w:val="hybridMultilevel"/>
    <w:tmpl w:val="8B7694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B6B4B"/>
    <w:multiLevelType w:val="hybridMultilevel"/>
    <w:tmpl w:val="D08C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570BD"/>
    <w:multiLevelType w:val="hybridMultilevel"/>
    <w:tmpl w:val="C06A2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E14415"/>
    <w:multiLevelType w:val="hybridMultilevel"/>
    <w:tmpl w:val="8CAE6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9D45D3"/>
    <w:multiLevelType w:val="hybridMultilevel"/>
    <w:tmpl w:val="AFFCE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396D95"/>
    <w:multiLevelType w:val="hybridMultilevel"/>
    <w:tmpl w:val="6A7E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41CC5"/>
    <w:multiLevelType w:val="hybridMultilevel"/>
    <w:tmpl w:val="C9D0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260BCB"/>
    <w:multiLevelType w:val="hybridMultilevel"/>
    <w:tmpl w:val="1858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13483B"/>
    <w:multiLevelType w:val="hybridMultilevel"/>
    <w:tmpl w:val="6FA0C7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965E55"/>
    <w:multiLevelType w:val="hybridMultilevel"/>
    <w:tmpl w:val="38AE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601CAF"/>
    <w:multiLevelType w:val="hybridMultilevel"/>
    <w:tmpl w:val="5BF2A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84F5FFF"/>
    <w:multiLevelType w:val="hybridMultilevel"/>
    <w:tmpl w:val="F09C5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DF35E52"/>
    <w:multiLevelType w:val="hybridMultilevel"/>
    <w:tmpl w:val="63DC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132738"/>
    <w:multiLevelType w:val="hybridMultilevel"/>
    <w:tmpl w:val="11BCB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721ACF"/>
    <w:multiLevelType w:val="hybridMultilevel"/>
    <w:tmpl w:val="56EC3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8BF1475"/>
    <w:multiLevelType w:val="hybridMultilevel"/>
    <w:tmpl w:val="E3CE1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9CA112F"/>
    <w:multiLevelType w:val="hybridMultilevel"/>
    <w:tmpl w:val="C9F69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8"/>
  </w:num>
  <w:num w:numId="4">
    <w:abstractNumId w:val="19"/>
  </w:num>
  <w:num w:numId="5">
    <w:abstractNumId w:val="13"/>
  </w:num>
  <w:num w:numId="6">
    <w:abstractNumId w:val="16"/>
  </w:num>
  <w:num w:numId="7">
    <w:abstractNumId w:val="20"/>
  </w:num>
  <w:num w:numId="8">
    <w:abstractNumId w:val="23"/>
  </w:num>
  <w:num w:numId="9">
    <w:abstractNumId w:val="21"/>
  </w:num>
  <w:num w:numId="10">
    <w:abstractNumId w:val="4"/>
  </w:num>
  <w:num w:numId="11">
    <w:abstractNumId w:val="14"/>
  </w:num>
  <w:num w:numId="12">
    <w:abstractNumId w:val="12"/>
  </w:num>
  <w:num w:numId="13">
    <w:abstractNumId w:val="18"/>
  </w:num>
  <w:num w:numId="14">
    <w:abstractNumId w:val="17"/>
  </w:num>
  <w:num w:numId="15">
    <w:abstractNumId w:val="10"/>
  </w:num>
  <w:num w:numId="16">
    <w:abstractNumId w:val="3"/>
  </w:num>
  <w:num w:numId="17">
    <w:abstractNumId w:val="7"/>
  </w:num>
  <w:num w:numId="18">
    <w:abstractNumId w:val="15"/>
  </w:num>
  <w:num w:numId="19">
    <w:abstractNumId w:val="22"/>
  </w:num>
  <w:num w:numId="20">
    <w:abstractNumId w:val="1"/>
  </w:num>
  <w:num w:numId="21">
    <w:abstractNumId w:val="5"/>
  </w:num>
  <w:num w:numId="22">
    <w:abstractNumId w:val="2"/>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9D"/>
    <w:rsid w:val="000054F9"/>
    <w:rsid w:val="00055591"/>
    <w:rsid w:val="00092AAC"/>
    <w:rsid w:val="000976B5"/>
    <w:rsid w:val="000F7EFC"/>
    <w:rsid w:val="001B27AF"/>
    <w:rsid w:val="001F638B"/>
    <w:rsid w:val="002802FA"/>
    <w:rsid w:val="003068F5"/>
    <w:rsid w:val="003932F3"/>
    <w:rsid w:val="003B05D1"/>
    <w:rsid w:val="004A1F2B"/>
    <w:rsid w:val="004E13A5"/>
    <w:rsid w:val="0055651A"/>
    <w:rsid w:val="00564A8F"/>
    <w:rsid w:val="00584741"/>
    <w:rsid w:val="005B3051"/>
    <w:rsid w:val="005C77D8"/>
    <w:rsid w:val="005D319C"/>
    <w:rsid w:val="006065D5"/>
    <w:rsid w:val="00630261"/>
    <w:rsid w:val="006414A5"/>
    <w:rsid w:val="00674566"/>
    <w:rsid w:val="006D58EF"/>
    <w:rsid w:val="006F2BE6"/>
    <w:rsid w:val="008248D0"/>
    <w:rsid w:val="00892E06"/>
    <w:rsid w:val="008F5E06"/>
    <w:rsid w:val="0093425A"/>
    <w:rsid w:val="00940891"/>
    <w:rsid w:val="009672FE"/>
    <w:rsid w:val="009B545F"/>
    <w:rsid w:val="009C18BE"/>
    <w:rsid w:val="00A020CE"/>
    <w:rsid w:val="00A215B7"/>
    <w:rsid w:val="00B3570B"/>
    <w:rsid w:val="00B37AC8"/>
    <w:rsid w:val="00B479D0"/>
    <w:rsid w:val="00B61D95"/>
    <w:rsid w:val="00B65312"/>
    <w:rsid w:val="00B82A27"/>
    <w:rsid w:val="00BE67CB"/>
    <w:rsid w:val="00C17CD1"/>
    <w:rsid w:val="00C50573"/>
    <w:rsid w:val="00C82EDF"/>
    <w:rsid w:val="00C92C82"/>
    <w:rsid w:val="00CA3E15"/>
    <w:rsid w:val="00CD3EC0"/>
    <w:rsid w:val="00D414E3"/>
    <w:rsid w:val="00D61731"/>
    <w:rsid w:val="00DE6063"/>
    <w:rsid w:val="00DF10EB"/>
    <w:rsid w:val="00DF6859"/>
    <w:rsid w:val="00E57C42"/>
    <w:rsid w:val="00EA66D6"/>
    <w:rsid w:val="00EF4E04"/>
    <w:rsid w:val="00F14D9D"/>
    <w:rsid w:val="00F541B4"/>
    <w:rsid w:val="00FA3505"/>
    <w:rsid w:val="00FD3249"/>
    <w:rsid w:val="00FE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4D9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14D9D"/>
  </w:style>
  <w:style w:type="paragraph" w:styleId="Footer">
    <w:name w:val="footer"/>
    <w:basedOn w:val="Normal"/>
    <w:link w:val="FooterChar"/>
    <w:uiPriority w:val="99"/>
    <w:unhideWhenUsed/>
    <w:rsid w:val="00F14D9D"/>
    <w:pPr>
      <w:tabs>
        <w:tab w:val="center" w:pos="4680"/>
        <w:tab w:val="right" w:pos="9360"/>
      </w:tabs>
      <w:spacing w:line="240" w:lineRule="auto"/>
    </w:pPr>
  </w:style>
  <w:style w:type="character" w:customStyle="1" w:styleId="FooterChar">
    <w:name w:val="Footer Char"/>
    <w:basedOn w:val="DefaultParagraphFont"/>
    <w:link w:val="Footer"/>
    <w:uiPriority w:val="99"/>
    <w:rsid w:val="00F14D9D"/>
  </w:style>
  <w:style w:type="table" w:styleId="TableGrid">
    <w:name w:val="Table Grid"/>
    <w:basedOn w:val="TableNormal"/>
    <w:uiPriority w:val="59"/>
    <w:rsid w:val="00F14D9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4D9D"/>
    <w:pPr>
      <w:spacing w:after="200" w:line="360" w:lineRule="auto"/>
      <w:ind w:left="72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4D9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14D9D"/>
  </w:style>
  <w:style w:type="paragraph" w:styleId="Footer">
    <w:name w:val="footer"/>
    <w:basedOn w:val="Normal"/>
    <w:link w:val="FooterChar"/>
    <w:uiPriority w:val="99"/>
    <w:unhideWhenUsed/>
    <w:rsid w:val="00F14D9D"/>
    <w:pPr>
      <w:tabs>
        <w:tab w:val="center" w:pos="4680"/>
        <w:tab w:val="right" w:pos="9360"/>
      </w:tabs>
      <w:spacing w:line="240" w:lineRule="auto"/>
    </w:pPr>
  </w:style>
  <w:style w:type="character" w:customStyle="1" w:styleId="FooterChar">
    <w:name w:val="Footer Char"/>
    <w:basedOn w:val="DefaultParagraphFont"/>
    <w:link w:val="Footer"/>
    <w:uiPriority w:val="99"/>
    <w:rsid w:val="00F14D9D"/>
  </w:style>
  <w:style w:type="table" w:styleId="TableGrid">
    <w:name w:val="Table Grid"/>
    <w:basedOn w:val="TableNormal"/>
    <w:uiPriority w:val="59"/>
    <w:rsid w:val="00F14D9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4D9D"/>
    <w:pPr>
      <w:spacing w:after="200" w:line="360" w:lineRule="auto"/>
      <w:ind w:left="72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2C371-BEEA-4770-B960-9BBCC3C9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Centers for Disease Control &amp; Prevention</dc:creator>
  <cp:lastModifiedBy>Tryon, Cheryl (CDC/OID/NCHHSTP)</cp:lastModifiedBy>
  <cp:revision>4</cp:revision>
  <cp:lastPrinted>2013-06-27T03:43:00Z</cp:lastPrinted>
  <dcterms:created xsi:type="dcterms:W3CDTF">2012-04-24T04:21:00Z</dcterms:created>
  <dcterms:modified xsi:type="dcterms:W3CDTF">2013-06-27T03:44:00Z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2019-04-26T01:58:15.3275397Z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