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DF0" w:rsidRPr="00AD5F1B" w:rsidRDefault="00A27DF0" w:rsidP="00A27DF0">
      <w:pPr>
        <w:pStyle w:val="H3a0HeadingsHeaderStyles"/>
        <w:jc w:val="right"/>
        <w:rPr>
          <w:rFonts w:ascii="Arial" w:hAnsi="Arial" w:cs="Arial"/>
          <w:color w:val="000000" w:themeColor="text1"/>
          <w:sz w:val="20"/>
          <w:szCs w:val="20"/>
        </w:rPr>
      </w:pPr>
      <w:r w:rsidRPr="00AD5F1B">
        <w:rPr>
          <w:rFonts w:ascii="Arial" w:hAnsi="Arial" w:cs="Arial"/>
          <w:color w:val="000000" w:themeColor="text1"/>
          <w:sz w:val="20"/>
          <w:szCs w:val="20"/>
        </w:rPr>
        <w:t>Data Security and Confidentiality Tool - 2</w:t>
      </w:r>
      <w:bookmarkStart w:id="0" w:name="_GoBack"/>
      <w:bookmarkEnd w:id="0"/>
    </w:p>
    <w:p w:rsidR="00A27DF0" w:rsidRDefault="00095D56" w:rsidP="00A27DF0">
      <w:pPr>
        <w:pStyle w:val="H3a0HeadingsHeaderStyles"/>
      </w:pPr>
      <w:r>
        <w:t>DATA SECURITY AND CONFIDENTIALITY</w:t>
      </w:r>
      <w:r>
        <w:br/>
      </w:r>
      <w:r w:rsidR="00A27DF0">
        <w:t>INITIAL ASSESSMENT</w:t>
      </w:r>
    </w:p>
    <w:p w:rsidR="00A27DF0" w:rsidRPr="003045E6" w:rsidRDefault="00A27DF0" w:rsidP="00A27DF0">
      <w:pPr>
        <w:pStyle w:val="BodyText"/>
        <w:rPr>
          <w:rFonts w:ascii="Times New Roman" w:hAnsi="Times New Roman" w:cs="Times New Roman"/>
        </w:rPr>
      </w:pPr>
      <w:r w:rsidRPr="003045E6">
        <w:rPr>
          <w:rFonts w:ascii="Times New Roman" w:hAnsi="Times New Roman" w:cs="Times New Roman"/>
        </w:rPr>
        <w:t xml:space="preserve">This checklist can be used to guide the initial assessment of a program’s compliance with the Standards for Data Security and Confidentiality. This will be particularly useful for state and local public health programs that currently lack data security and confidentiality policies and procedures. </w:t>
      </w:r>
    </w:p>
    <w:p w:rsidR="00A27DF0" w:rsidRPr="003045E6" w:rsidRDefault="00A27DF0" w:rsidP="00A27DF0">
      <w:pPr>
        <w:pStyle w:val="BodyText"/>
        <w:spacing w:after="90"/>
        <w:rPr>
          <w:rFonts w:ascii="Times New Roman" w:hAnsi="Times New Roman" w:cs="Times New Roman"/>
        </w:rPr>
      </w:pPr>
      <w:r w:rsidRPr="003045E6">
        <w:rPr>
          <w:rFonts w:ascii="Times New Roman" w:hAnsi="Times New Roman" w:cs="Times New Roman"/>
        </w:rPr>
        <w:t>As indicated previously in this document, the initial assessment should be conducted by a team led by the ORP(s). The team should include:</w:t>
      </w:r>
    </w:p>
    <w:p w:rsidR="00A27DF0" w:rsidRPr="003045E6" w:rsidRDefault="00A27DF0" w:rsidP="00A27DF0">
      <w:pPr>
        <w:pStyle w:val="Bullets1BulletsLists"/>
        <w:rPr>
          <w:rFonts w:ascii="Times New Roman" w:hAnsi="Times New Roman" w:cs="Times New Roman"/>
        </w:rPr>
      </w:pPr>
      <w:r w:rsidRPr="003045E6">
        <w:rPr>
          <w:rFonts w:ascii="Times New Roman" w:hAnsi="Times New Roman" w:cs="Times New Roman"/>
        </w:rPr>
        <w:t>Program managers, directors, or equivalent leaders from participating programs</w:t>
      </w:r>
    </w:p>
    <w:p w:rsidR="00A27DF0" w:rsidRPr="003045E6" w:rsidRDefault="00A27DF0" w:rsidP="00A27DF0">
      <w:pPr>
        <w:pStyle w:val="Bullets1BulletsLists"/>
        <w:rPr>
          <w:rFonts w:ascii="Times New Roman" w:hAnsi="Times New Roman" w:cs="Times New Roman"/>
        </w:rPr>
      </w:pPr>
      <w:r w:rsidRPr="003045E6">
        <w:rPr>
          <w:rFonts w:ascii="Times New Roman" w:hAnsi="Times New Roman" w:cs="Times New Roman"/>
        </w:rPr>
        <w:t>Other representatives of participating programs</w:t>
      </w:r>
    </w:p>
    <w:p w:rsidR="00A27DF0" w:rsidRPr="003045E6" w:rsidRDefault="00A27DF0" w:rsidP="00A27DF0">
      <w:pPr>
        <w:pStyle w:val="Bullets1BulletsLists"/>
        <w:rPr>
          <w:rFonts w:ascii="Times New Roman" w:hAnsi="Times New Roman" w:cs="Times New Roman"/>
        </w:rPr>
      </w:pPr>
      <w:r w:rsidRPr="003045E6">
        <w:rPr>
          <w:rFonts w:ascii="Times New Roman" w:hAnsi="Times New Roman" w:cs="Times New Roman"/>
        </w:rPr>
        <w:t>Staff members with technical expertise in data security</w:t>
      </w:r>
    </w:p>
    <w:p w:rsidR="00A27DF0" w:rsidRPr="003045E6" w:rsidRDefault="00A27DF0" w:rsidP="00A27DF0">
      <w:pPr>
        <w:pStyle w:val="Bullets1BulletsLists"/>
        <w:rPr>
          <w:rFonts w:ascii="Times New Roman" w:hAnsi="Times New Roman" w:cs="Times New Roman"/>
        </w:rPr>
      </w:pPr>
      <w:r w:rsidRPr="003045E6">
        <w:rPr>
          <w:rFonts w:ascii="Times New Roman" w:hAnsi="Times New Roman" w:cs="Times New Roman"/>
        </w:rPr>
        <w:t>IT staff</w:t>
      </w:r>
    </w:p>
    <w:p w:rsidR="00A27DF0" w:rsidRPr="003045E6" w:rsidRDefault="00A27DF0" w:rsidP="00A27DF0">
      <w:pPr>
        <w:pStyle w:val="BodyText"/>
        <w:spacing w:after="90"/>
        <w:rPr>
          <w:rFonts w:ascii="Times New Roman" w:hAnsi="Times New Roman" w:cs="Times New Roman"/>
        </w:rPr>
      </w:pPr>
      <w:r w:rsidRPr="003045E6">
        <w:rPr>
          <w:rFonts w:ascii="Times New Roman" w:hAnsi="Times New Roman" w:cs="Times New Roman"/>
        </w:rPr>
        <w:t>The initial assessment should include the following steps:</w:t>
      </w:r>
    </w:p>
    <w:p w:rsidR="00A27DF0" w:rsidRPr="003045E6" w:rsidRDefault="00A27DF0" w:rsidP="003045E6">
      <w:pPr>
        <w:pStyle w:val="Bullets1BulletsLists"/>
        <w:numPr>
          <w:ilvl w:val="0"/>
          <w:numId w:val="1"/>
        </w:numPr>
        <w:rPr>
          <w:rFonts w:ascii="Times New Roman" w:hAnsi="Times New Roman" w:cs="Times New Roman"/>
        </w:rPr>
      </w:pPr>
      <w:r w:rsidRPr="003045E6">
        <w:rPr>
          <w:rFonts w:ascii="Times New Roman" w:hAnsi="Times New Roman" w:cs="Times New Roman"/>
        </w:rPr>
        <w:t>Identify key individuals and designate an ORP</w:t>
      </w:r>
    </w:p>
    <w:p w:rsidR="00A27DF0" w:rsidRPr="003045E6" w:rsidRDefault="00A27DF0" w:rsidP="003045E6">
      <w:pPr>
        <w:pStyle w:val="Bullets1BulletsLists"/>
        <w:numPr>
          <w:ilvl w:val="0"/>
          <w:numId w:val="1"/>
        </w:numPr>
        <w:rPr>
          <w:rFonts w:ascii="Times New Roman" w:hAnsi="Times New Roman" w:cs="Times New Roman"/>
        </w:rPr>
      </w:pPr>
      <w:r w:rsidRPr="003045E6">
        <w:rPr>
          <w:rFonts w:ascii="Times New Roman" w:hAnsi="Times New Roman" w:cs="Times New Roman"/>
        </w:rPr>
        <w:t>Review current security-related materials (e.g., written policies and procedures)</w:t>
      </w:r>
    </w:p>
    <w:p w:rsidR="00A27DF0" w:rsidRPr="003045E6" w:rsidRDefault="00A27DF0" w:rsidP="003045E6">
      <w:pPr>
        <w:pStyle w:val="Bullets1BulletsLists"/>
        <w:numPr>
          <w:ilvl w:val="0"/>
          <w:numId w:val="1"/>
        </w:numPr>
        <w:rPr>
          <w:rFonts w:ascii="Times New Roman" w:hAnsi="Times New Roman" w:cs="Times New Roman"/>
        </w:rPr>
      </w:pPr>
      <w:r w:rsidRPr="003045E6">
        <w:rPr>
          <w:rFonts w:ascii="Times New Roman" w:hAnsi="Times New Roman" w:cs="Times New Roman"/>
        </w:rPr>
        <w:t>Review relevant state and local laws that might affect data security and confidentiality policies</w:t>
      </w:r>
    </w:p>
    <w:p w:rsidR="00A27DF0" w:rsidRPr="003045E6" w:rsidRDefault="00A27DF0" w:rsidP="003045E6">
      <w:pPr>
        <w:pStyle w:val="Bullets1BulletsLists"/>
        <w:numPr>
          <w:ilvl w:val="0"/>
          <w:numId w:val="1"/>
        </w:numPr>
        <w:rPr>
          <w:rFonts w:ascii="Times New Roman" w:hAnsi="Times New Roman" w:cs="Times New Roman"/>
        </w:rPr>
      </w:pPr>
      <w:r w:rsidRPr="003045E6">
        <w:rPr>
          <w:rFonts w:ascii="Times New Roman" w:hAnsi="Times New Roman" w:cs="Times New Roman"/>
        </w:rPr>
        <w:t>Identify any policies or procedures that are either barriers to information sharing or sources of data security weaknesses</w:t>
      </w:r>
    </w:p>
    <w:p w:rsidR="00A27DF0" w:rsidRPr="003045E6" w:rsidRDefault="00A27DF0" w:rsidP="003045E6">
      <w:pPr>
        <w:pStyle w:val="Bullets1BulletsLists"/>
        <w:numPr>
          <w:ilvl w:val="0"/>
          <w:numId w:val="1"/>
        </w:numPr>
        <w:rPr>
          <w:rFonts w:ascii="Times New Roman" w:hAnsi="Times New Roman" w:cs="Times New Roman"/>
        </w:rPr>
      </w:pPr>
      <w:r w:rsidRPr="003045E6">
        <w:rPr>
          <w:rFonts w:ascii="Times New Roman" w:hAnsi="Times New Roman" w:cs="Times New Roman"/>
        </w:rPr>
        <w:t>Consult standard operating procedures (SOPs) from other programs that might be useful sources of ideas or suggestions for procedural changes</w:t>
      </w:r>
    </w:p>
    <w:p w:rsidR="00A27DF0" w:rsidRPr="003045E6" w:rsidRDefault="00A27DF0" w:rsidP="003045E6">
      <w:pPr>
        <w:pStyle w:val="Bullets1BulletsLists"/>
        <w:numPr>
          <w:ilvl w:val="0"/>
          <w:numId w:val="1"/>
        </w:numPr>
        <w:rPr>
          <w:rFonts w:ascii="Times New Roman" w:hAnsi="Times New Roman" w:cs="Times New Roman"/>
        </w:rPr>
      </w:pPr>
      <w:r w:rsidRPr="003045E6">
        <w:rPr>
          <w:rFonts w:ascii="Times New Roman" w:hAnsi="Times New Roman" w:cs="Times New Roman"/>
        </w:rPr>
        <w:t>Review any history of data security breaches or near-breaches, and associated lessons learned</w:t>
      </w:r>
    </w:p>
    <w:p w:rsidR="00A27DF0" w:rsidRPr="003045E6" w:rsidRDefault="00A27DF0" w:rsidP="003045E6">
      <w:pPr>
        <w:pStyle w:val="Bullets1BulletsLists"/>
        <w:numPr>
          <w:ilvl w:val="0"/>
          <w:numId w:val="1"/>
        </w:numPr>
        <w:rPr>
          <w:rFonts w:ascii="Times New Roman" w:hAnsi="Times New Roman" w:cs="Times New Roman"/>
        </w:rPr>
      </w:pPr>
      <w:r w:rsidRPr="003045E6">
        <w:rPr>
          <w:rFonts w:ascii="Times New Roman" w:hAnsi="Times New Roman" w:cs="Times New Roman"/>
        </w:rPr>
        <w:t>Assess physical security and define the secure area</w:t>
      </w:r>
    </w:p>
    <w:p w:rsidR="00A27DF0" w:rsidRPr="003045E6" w:rsidRDefault="00A27DF0" w:rsidP="003045E6">
      <w:pPr>
        <w:pStyle w:val="Bullets1BulletsLists"/>
        <w:numPr>
          <w:ilvl w:val="0"/>
          <w:numId w:val="1"/>
        </w:numPr>
        <w:rPr>
          <w:rFonts w:ascii="Times New Roman" w:hAnsi="Times New Roman" w:cs="Times New Roman"/>
        </w:rPr>
      </w:pPr>
      <w:r w:rsidRPr="003045E6">
        <w:rPr>
          <w:rFonts w:ascii="Times New Roman" w:hAnsi="Times New Roman" w:cs="Times New Roman"/>
        </w:rPr>
        <w:t>Assess electronic security protections and methods of data transfer and storage</w:t>
      </w:r>
    </w:p>
    <w:p w:rsidR="00A27DF0" w:rsidRPr="003045E6" w:rsidRDefault="00A27DF0" w:rsidP="003045E6">
      <w:pPr>
        <w:pStyle w:val="Bullets1BulletsLists"/>
        <w:numPr>
          <w:ilvl w:val="0"/>
          <w:numId w:val="1"/>
        </w:numPr>
        <w:rPr>
          <w:rFonts w:ascii="Times New Roman" w:hAnsi="Times New Roman" w:cs="Times New Roman"/>
        </w:rPr>
      </w:pPr>
      <w:r w:rsidRPr="003045E6">
        <w:rPr>
          <w:rFonts w:ascii="Times New Roman" w:hAnsi="Times New Roman" w:cs="Times New Roman"/>
        </w:rPr>
        <w:t>Assess factors related to security of information in the field, as appropriate</w:t>
      </w:r>
    </w:p>
    <w:p w:rsidR="001C6716" w:rsidRPr="003045E6" w:rsidRDefault="00A27DF0" w:rsidP="003045E6">
      <w:pPr>
        <w:pStyle w:val="Bullets1BulletsLists"/>
        <w:numPr>
          <w:ilvl w:val="0"/>
          <w:numId w:val="1"/>
        </w:numPr>
        <w:rPr>
          <w:rFonts w:ascii="Times New Roman" w:hAnsi="Times New Roman" w:cs="Times New Roman"/>
        </w:rPr>
      </w:pPr>
      <w:r w:rsidRPr="003045E6">
        <w:rPr>
          <w:rFonts w:ascii="Times New Roman" w:hAnsi="Times New Roman" w:cs="Times New Roman"/>
        </w:rPr>
        <w:t>Assess training needs</w:t>
      </w:r>
    </w:p>
    <w:p w:rsidR="001C6716" w:rsidRPr="003045E6" w:rsidRDefault="001C6716">
      <w:pPr>
        <w:rPr>
          <w:rFonts w:ascii="Times New Roman" w:hAnsi="Times New Roman" w:cs="Times New Roman"/>
          <w:color w:val="000000"/>
          <w:spacing w:val="-2"/>
        </w:rPr>
      </w:pPr>
      <w:r w:rsidRPr="003045E6">
        <w:rPr>
          <w:rFonts w:ascii="Times New Roman" w:hAnsi="Times New Roman" w:cs="Times New Roman"/>
        </w:rPr>
        <w:br w:type="page"/>
      </w:r>
    </w:p>
    <w:p w:rsidR="00A27DF0" w:rsidRDefault="00A27DF0" w:rsidP="00A27DF0">
      <w:pPr>
        <w:pStyle w:val="BodyText"/>
      </w:pPr>
      <w:r>
        <w:lastRenderedPageBreak/>
        <w:t> </w:t>
      </w:r>
    </w:p>
    <w:tbl>
      <w:tblPr>
        <w:tblW w:w="9540" w:type="dxa"/>
        <w:tblInd w:w="180" w:type="dxa"/>
        <w:tblLayout w:type="fixed"/>
        <w:tblCellMar>
          <w:left w:w="0" w:type="dxa"/>
          <w:right w:w="0" w:type="dxa"/>
        </w:tblCellMar>
        <w:tblLook w:val="0000" w:firstRow="0" w:lastRow="0" w:firstColumn="0" w:lastColumn="0" w:noHBand="0" w:noVBand="0"/>
      </w:tblPr>
      <w:tblGrid>
        <w:gridCol w:w="2275"/>
        <w:gridCol w:w="7265"/>
      </w:tblGrid>
      <w:tr w:rsidR="00A27DF0" w:rsidTr="001C6716">
        <w:trPr>
          <w:trHeight w:val="432"/>
        </w:trPr>
        <w:tc>
          <w:tcPr>
            <w:tcW w:w="9540" w:type="dxa"/>
            <w:gridSpan w:val="2"/>
            <w:tcBorders>
              <w:top w:val="single" w:sz="6" w:space="0" w:color="000000"/>
              <w:left w:val="single" w:sz="6" w:space="0" w:color="000000"/>
              <w:bottom w:val="single" w:sz="16" w:space="0" w:color="FFFFFF"/>
              <w:right w:val="single" w:sz="8" w:space="0" w:color="000000"/>
            </w:tcBorders>
            <w:tcMar>
              <w:top w:w="90" w:type="dxa"/>
              <w:left w:w="180" w:type="dxa"/>
              <w:bottom w:w="90" w:type="dxa"/>
              <w:right w:w="80" w:type="dxa"/>
            </w:tcMar>
            <w:vAlign w:val="center"/>
          </w:tcPr>
          <w:p w:rsidR="00A27DF0" w:rsidRDefault="00A27DF0" w:rsidP="00095D56">
            <w:pPr>
              <w:pStyle w:val="TableHeaderL2TableStyles"/>
              <w:ind w:left="90" w:right="90"/>
            </w:pPr>
            <w:r w:rsidRPr="00A27DF0">
              <w:rPr>
                <w:outline/>
                <w:spacing w:val="3"/>
                <w:sz w:val="26"/>
                <w:szCs w:val="26"/>
                <w14:textOutline w14:w="9525" w14:cap="flat" w14:cmpd="sng" w14:algn="ctr">
                  <w14:solidFill>
                    <w14:srgbClr w14:val="0051F9"/>
                  </w14:solidFill>
                  <w14:prstDash w14:val="solid"/>
                  <w14:round/>
                </w14:textOutline>
                <w14:textFill>
                  <w14:noFill/>
                </w14:textFill>
              </w:rPr>
              <w:t>Conducting an Initial assessment: Steps and Guiding Questions</w:t>
            </w:r>
          </w:p>
        </w:tc>
      </w:tr>
      <w:tr w:rsidR="00A27DF0" w:rsidTr="001C6716">
        <w:trPr>
          <w:trHeight w:val="1468"/>
        </w:trPr>
        <w:tc>
          <w:tcPr>
            <w:tcW w:w="2275" w:type="dxa"/>
            <w:tcBorders>
              <w:top w:val="single" w:sz="16" w:space="0" w:color="FFFFFF"/>
              <w:left w:val="single" w:sz="6" w:space="0" w:color="FFFFFF"/>
              <w:bottom w:val="single" w:sz="16" w:space="0" w:color="FFFFFF"/>
              <w:right w:val="single" w:sz="6" w:space="0" w:color="FFFFFF"/>
            </w:tcBorders>
            <w:shd w:val="solid" w:color="0051F9" w:fill="auto"/>
            <w:tcMar>
              <w:top w:w="180" w:type="dxa"/>
              <w:left w:w="180" w:type="dxa"/>
              <w:bottom w:w="0" w:type="dxa"/>
              <w:right w:w="80" w:type="dxa"/>
            </w:tcMar>
            <w:vAlign w:val="center"/>
          </w:tcPr>
          <w:p w:rsidR="00A27DF0" w:rsidRDefault="00A27DF0" w:rsidP="00095D56">
            <w:pPr>
              <w:pStyle w:val="TableSub1TableStyles"/>
            </w:pPr>
            <w:r w:rsidRPr="00A27DF0">
              <w:rPr>
                <w:outline/>
                <w:sz w:val="21"/>
                <w:szCs w:val="21"/>
                <w14:textOutline w14:w="9525" w14:cap="flat" w14:cmpd="sng" w14:algn="ctr">
                  <w14:solidFill>
                    <w14:srgbClr w14:val="0051F9"/>
                  </w14:solidFill>
                  <w14:prstDash w14:val="solid"/>
                  <w14:round/>
                </w14:textOutline>
                <w14:textFill>
                  <w14:noFill/>
                </w14:textFill>
              </w:rPr>
              <w:t>Identify key individuals and designate an  ORP</w:t>
            </w:r>
          </w:p>
        </w:tc>
        <w:tc>
          <w:tcPr>
            <w:tcW w:w="7265" w:type="dxa"/>
            <w:tcBorders>
              <w:top w:val="single" w:sz="16" w:space="0" w:color="FFFFFF"/>
              <w:left w:val="single" w:sz="6" w:space="0" w:color="FFFFFF"/>
              <w:bottom w:val="single" w:sz="16" w:space="0" w:color="FFFFFF"/>
              <w:right w:val="single" w:sz="6" w:space="0" w:color="000000"/>
            </w:tcBorders>
            <w:shd w:val="solid" w:color="00895B" w:fill="auto"/>
            <w:tcMar>
              <w:top w:w="180" w:type="dxa"/>
              <w:left w:w="80" w:type="dxa"/>
              <w:bottom w:w="0" w:type="dxa"/>
              <w:right w:w="80" w:type="dxa"/>
            </w:tcMar>
            <w:vAlign w:val="center"/>
          </w:tcPr>
          <w:p w:rsidR="00A27DF0" w:rsidRDefault="00A27DF0" w:rsidP="00095D56">
            <w:pPr>
              <w:pStyle w:val="TableTextLTableStyles"/>
              <w:spacing w:after="90"/>
              <w:ind w:right="360"/>
            </w:pPr>
            <w:r>
              <w:t xml:space="preserve">Have key individuals, including program managers, directors, </w:t>
            </w:r>
            <w:proofErr w:type="gramStart"/>
            <w:r>
              <w:t>persons</w:t>
            </w:r>
            <w:proofErr w:type="gramEnd"/>
            <w:r>
              <w:t xml:space="preserve"> responsible for information and system security, and appropriate technical staff members, been identified?</w:t>
            </w:r>
          </w:p>
          <w:p w:rsidR="00A27DF0" w:rsidRDefault="00A27DF0" w:rsidP="00095D56">
            <w:pPr>
              <w:pStyle w:val="TableTextLTableStyles"/>
              <w:ind w:right="360"/>
            </w:pPr>
            <w:r>
              <w:t>Has an ORP(s) with ultimate decision-making authority and responsibility for reconciling differences in policies and procedures across programs been identified?</w:t>
            </w:r>
          </w:p>
          <w:p w:rsidR="00A27DF0" w:rsidRDefault="00A27DF0" w:rsidP="00095D56">
            <w:pPr>
              <w:pStyle w:val="TableTextLTableStyles"/>
              <w:ind w:right="360"/>
            </w:pPr>
          </w:p>
        </w:tc>
      </w:tr>
      <w:tr w:rsidR="00A27DF0" w:rsidTr="001C6716">
        <w:trPr>
          <w:trHeight w:val="1160"/>
        </w:trPr>
        <w:tc>
          <w:tcPr>
            <w:tcW w:w="2275" w:type="dxa"/>
            <w:tcBorders>
              <w:top w:val="single" w:sz="16" w:space="0" w:color="FFFFFF"/>
              <w:left w:val="single" w:sz="6" w:space="0" w:color="FFFFFF"/>
              <w:bottom w:val="single" w:sz="16" w:space="0" w:color="FFFFFF"/>
              <w:right w:val="single" w:sz="6" w:space="0" w:color="FFFFFF"/>
            </w:tcBorders>
            <w:shd w:val="solid" w:color="0051F9" w:fill="auto"/>
            <w:tcMar>
              <w:top w:w="0" w:type="dxa"/>
              <w:left w:w="180" w:type="dxa"/>
              <w:bottom w:w="0" w:type="dxa"/>
              <w:right w:w="80" w:type="dxa"/>
            </w:tcMar>
            <w:vAlign w:val="center"/>
          </w:tcPr>
          <w:p w:rsidR="00A27DF0" w:rsidRDefault="00A27DF0" w:rsidP="00095D56">
            <w:pPr>
              <w:pStyle w:val="TableSub1TableStyles"/>
            </w:pPr>
            <w:r w:rsidRPr="00A27DF0">
              <w:rPr>
                <w:outline/>
                <w:sz w:val="21"/>
                <w:szCs w:val="21"/>
                <w14:textOutline w14:w="9525" w14:cap="flat" w14:cmpd="sng" w14:algn="ctr">
                  <w14:solidFill>
                    <w14:srgbClr w14:val="0051F9"/>
                  </w14:solidFill>
                  <w14:prstDash w14:val="solid"/>
                  <w14:round/>
                </w14:textOutline>
                <w14:textFill>
                  <w14:noFill/>
                </w14:textFill>
              </w:rPr>
              <w:t xml:space="preserve">Review current policies and </w:t>
            </w:r>
            <w:r w:rsidRPr="00A27DF0">
              <w:rPr>
                <w:outline/>
                <w:sz w:val="21"/>
                <w:szCs w:val="21"/>
                <w14:textOutline w14:w="9525" w14:cap="flat" w14:cmpd="sng" w14:algn="ctr">
                  <w14:solidFill>
                    <w14:srgbClr w14:val="0051F9"/>
                  </w14:solidFill>
                  <w14:prstDash w14:val="solid"/>
                  <w14:round/>
                </w14:textOutline>
                <w14:textFill>
                  <w14:noFill/>
                </w14:textFill>
              </w:rPr>
              <w:br/>
              <w:t>gather resources</w:t>
            </w:r>
          </w:p>
        </w:tc>
        <w:tc>
          <w:tcPr>
            <w:tcW w:w="7265" w:type="dxa"/>
            <w:tcBorders>
              <w:top w:val="single" w:sz="16" w:space="0" w:color="FFFFFF"/>
              <w:left w:val="single" w:sz="6" w:space="0" w:color="FFFFFF"/>
              <w:bottom w:val="single" w:sz="16" w:space="0" w:color="FFFFFF"/>
              <w:right w:val="single" w:sz="6" w:space="0" w:color="000000"/>
            </w:tcBorders>
            <w:shd w:val="solid" w:color="00D65E" w:fill="auto"/>
            <w:tcMar>
              <w:top w:w="180" w:type="dxa"/>
              <w:left w:w="80" w:type="dxa"/>
              <w:bottom w:w="0" w:type="dxa"/>
              <w:right w:w="80" w:type="dxa"/>
            </w:tcMar>
            <w:vAlign w:val="center"/>
          </w:tcPr>
          <w:p w:rsidR="00A27DF0" w:rsidRDefault="00A27DF0" w:rsidP="00095D56">
            <w:pPr>
              <w:pStyle w:val="TableTextLTableStyles"/>
              <w:spacing w:after="90"/>
              <w:ind w:right="450"/>
            </w:pPr>
            <w:r>
              <w:t>Have relevant policies, data-sharing agreements, and standard operating procedures been compiled and reviewed?</w:t>
            </w:r>
          </w:p>
          <w:p w:rsidR="00A27DF0" w:rsidRDefault="00A27DF0" w:rsidP="00095D56">
            <w:pPr>
              <w:pStyle w:val="TableTextLTableStyles"/>
              <w:ind w:right="450"/>
            </w:pPr>
            <w:r>
              <w:t>Have relevant laws, rules, and regulations been considered?</w:t>
            </w:r>
          </w:p>
          <w:p w:rsidR="00A27DF0" w:rsidRDefault="00A27DF0" w:rsidP="00095D56">
            <w:pPr>
              <w:pStyle w:val="TableTextLTableStyles"/>
              <w:ind w:right="450"/>
            </w:pPr>
          </w:p>
        </w:tc>
      </w:tr>
      <w:tr w:rsidR="00A27DF0" w:rsidTr="001C6716">
        <w:trPr>
          <w:trHeight w:val="1172"/>
        </w:trPr>
        <w:tc>
          <w:tcPr>
            <w:tcW w:w="2275" w:type="dxa"/>
            <w:tcBorders>
              <w:top w:val="single" w:sz="16" w:space="0" w:color="FFFFFF"/>
              <w:left w:val="single" w:sz="6" w:space="0" w:color="FFFFFF"/>
              <w:bottom w:val="single" w:sz="16" w:space="0" w:color="FFFFFF"/>
              <w:right w:val="single" w:sz="6" w:space="0" w:color="FFFFFF"/>
            </w:tcBorders>
            <w:shd w:val="solid" w:color="0051F9" w:fill="auto"/>
            <w:tcMar>
              <w:top w:w="180" w:type="dxa"/>
              <w:left w:w="180" w:type="dxa"/>
              <w:bottom w:w="80" w:type="dxa"/>
              <w:right w:w="80" w:type="dxa"/>
            </w:tcMar>
            <w:vAlign w:val="center"/>
          </w:tcPr>
          <w:p w:rsidR="00A27DF0" w:rsidRDefault="00A27DF0" w:rsidP="00095D56">
            <w:pPr>
              <w:pStyle w:val="TableSub1TableStyles"/>
            </w:pPr>
            <w:r w:rsidRPr="00A27DF0">
              <w:rPr>
                <w:outline/>
                <w:sz w:val="21"/>
                <w:szCs w:val="21"/>
                <w14:textOutline w14:w="9525" w14:cap="flat" w14:cmpd="sng" w14:algn="ctr">
                  <w14:solidFill>
                    <w14:srgbClr w14:val="0051F9"/>
                  </w14:solidFill>
                  <w14:prstDash w14:val="solid"/>
                  <w14:round/>
                </w14:textOutline>
                <w14:textFill>
                  <w14:noFill/>
                </w14:textFill>
              </w:rPr>
              <w:t xml:space="preserve">Identify weaknesses  and barriers </w:t>
            </w:r>
          </w:p>
        </w:tc>
        <w:tc>
          <w:tcPr>
            <w:tcW w:w="7265" w:type="dxa"/>
            <w:tcBorders>
              <w:top w:val="single" w:sz="16" w:space="0" w:color="FFFFFF"/>
              <w:left w:val="single" w:sz="6" w:space="0" w:color="FFFFFF"/>
              <w:bottom w:val="single" w:sz="16" w:space="0" w:color="FFFFFF"/>
              <w:right w:val="single" w:sz="6" w:space="0" w:color="000000"/>
            </w:tcBorders>
            <w:shd w:val="solid" w:color="87D3EA" w:fill="auto"/>
            <w:tcMar>
              <w:top w:w="0" w:type="dxa"/>
              <w:left w:w="80" w:type="dxa"/>
              <w:bottom w:w="0" w:type="dxa"/>
              <w:right w:w="80" w:type="dxa"/>
            </w:tcMar>
            <w:vAlign w:val="center"/>
          </w:tcPr>
          <w:p w:rsidR="00A27DF0" w:rsidRDefault="00A27DF0" w:rsidP="00095D56">
            <w:pPr>
              <w:pStyle w:val="TableTextLTableStyles"/>
              <w:spacing w:after="90"/>
            </w:pPr>
            <w:r>
              <w:t>Have areas of weakness and specific topics that need additional clarification been identified?</w:t>
            </w:r>
          </w:p>
          <w:p w:rsidR="00A27DF0" w:rsidRDefault="00A27DF0" w:rsidP="00095D56">
            <w:pPr>
              <w:pStyle w:val="TableTextLTableStyles"/>
              <w:spacing w:after="90"/>
            </w:pPr>
            <w:r>
              <w:t>Have barriers to data sharing been identified?</w:t>
            </w:r>
          </w:p>
          <w:p w:rsidR="00A27DF0" w:rsidRDefault="00A27DF0" w:rsidP="00095D56">
            <w:pPr>
              <w:pStyle w:val="TableTextLTableStyles"/>
            </w:pPr>
            <w:r>
              <w:t>Have potential solutions to these barriers, including possible policy revisions, been noted?</w:t>
            </w:r>
          </w:p>
        </w:tc>
      </w:tr>
      <w:tr w:rsidR="00A27DF0" w:rsidTr="001C6716">
        <w:trPr>
          <w:trHeight w:val="2966"/>
        </w:trPr>
        <w:tc>
          <w:tcPr>
            <w:tcW w:w="2275" w:type="dxa"/>
            <w:tcBorders>
              <w:top w:val="single" w:sz="16" w:space="0" w:color="FFFFFF"/>
              <w:left w:val="single" w:sz="6" w:space="0" w:color="FFFFFF"/>
              <w:bottom w:val="single" w:sz="16" w:space="0" w:color="FFFFFF"/>
              <w:right w:val="single" w:sz="6" w:space="0" w:color="FFFFFF"/>
            </w:tcBorders>
            <w:shd w:val="solid" w:color="0051F9" w:fill="auto"/>
            <w:tcMar>
              <w:top w:w="180" w:type="dxa"/>
              <w:left w:w="180" w:type="dxa"/>
              <w:bottom w:w="80" w:type="dxa"/>
              <w:right w:w="80" w:type="dxa"/>
            </w:tcMar>
            <w:vAlign w:val="center"/>
          </w:tcPr>
          <w:p w:rsidR="00A27DF0" w:rsidRDefault="00A27DF0" w:rsidP="00095D56">
            <w:pPr>
              <w:pStyle w:val="TableSub1TableStyles"/>
            </w:pPr>
            <w:r w:rsidRPr="00A27DF0">
              <w:rPr>
                <w:outline/>
                <w:sz w:val="21"/>
                <w:szCs w:val="21"/>
                <w14:textOutline w14:w="9525" w14:cap="flat" w14:cmpd="sng" w14:algn="ctr">
                  <w14:solidFill>
                    <w14:srgbClr w14:val="0051F9"/>
                  </w14:solidFill>
                  <w14:prstDash w14:val="solid"/>
                  <w14:round/>
                </w14:textOutline>
                <w14:textFill>
                  <w14:noFill/>
                </w14:textFill>
              </w:rPr>
              <w:t>Assess physical security and define the secure area</w:t>
            </w:r>
          </w:p>
        </w:tc>
        <w:tc>
          <w:tcPr>
            <w:tcW w:w="7265" w:type="dxa"/>
            <w:tcBorders>
              <w:top w:val="single" w:sz="16" w:space="0" w:color="FFFFFF"/>
              <w:left w:val="single" w:sz="6" w:space="0" w:color="FFFFFF"/>
              <w:bottom w:val="single" w:sz="16" w:space="0" w:color="FFFFFF"/>
              <w:right w:val="single" w:sz="6" w:space="0" w:color="000000"/>
            </w:tcBorders>
            <w:shd w:val="solid" w:color="00D65E" w:fill="auto"/>
            <w:tcMar>
              <w:top w:w="0" w:type="dxa"/>
              <w:left w:w="80" w:type="dxa"/>
              <w:bottom w:w="0" w:type="dxa"/>
              <w:right w:w="80" w:type="dxa"/>
            </w:tcMar>
            <w:vAlign w:val="center"/>
          </w:tcPr>
          <w:p w:rsidR="00A27DF0" w:rsidRDefault="00A27DF0" w:rsidP="00095D56">
            <w:pPr>
              <w:pStyle w:val="TableTextLTableStyles"/>
              <w:spacing w:after="90"/>
              <w:rPr>
                <w:spacing w:val="-2"/>
              </w:rPr>
            </w:pPr>
            <w:r>
              <w:rPr>
                <w:spacing w:val="-2"/>
              </w:rPr>
              <w:t>What is the work-space configuration?</w:t>
            </w:r>
          </w:p>
          <w:p w:rsidR="00A27DF0" w:rsidRDefault="00A27DF0" w:rsidP="00095D56">
            <w:pPr>
              <w:pStyle w:val="TableTextLTableStyles"/>
              <w:spacing w:after="90"/>
              <w:rPr>
                <w:spacing w:val="-2"/>
              </w:rPr>
            </w:pPr>
            <w:r>
              <w:rPr>
                <w:spacing w:val="-2"/>
              </w:rPr>
              <w:t>What is the path of public health data from collection and entry into the program’s physical space through data entry and storage?</w:t>
            </w:r>
          </w:p>
          <w:p w:rsidR="00A27DF0" w:rsidRDefault="00A27DF0" w:rsidP="00095D56">
            <w:pPr>
              <w:pStyle w:val="TableTextLTableStyles"/>
              <w:spacing w:after="90"/>
              <w:rPr>
                <w:spacing w:val="-2"/>
              </w:rPr>
            </w:pPr>
            <w:r>
              <w:rPr>
                <w:spacing w:val="-2"/>
                <w:w w:val="99"/>
              </w:rPr>
              <w:t>What happens to case report forms received from providers? How are case report forms completed by health department staff handled? Is information obtained by phone or other electronic format? If so, how are hard copies or electronic media physically secured? Are electronic devices used, such as PDAs or laptops? If so, how are these physically secured?</w:t>
            </w:r>
          </w:p>
          <w:p w:rsidR="00A27DF0" w:rsidRDefault="00A27DF0" w:rsidP="00095D56">
            <w:pPr>
              <w:pStyle w:val="TableTextLTableStyles"/>
              <w:spacing w:after="90"/>
              <w:rPr>
                <w:spacing w:val="-2"/>
              </w:rPr>
            </w:pPr>
            <w:r>
              <w:rPr>
                <w:spacing w:val="-2"/>
              </w:rPr>
              <w:t xml:space="preserve">How is the area that houses identifiable data secured?  </w:t>
            </w:r>
          </w:p>
          <w:p w:rsidR="00A27DF0" w:rsidRDefault="00A27DF0" w:rsidP="00095D56">
            <w:pPr>
              <w:pStyle w:val="TableTextLTableStyles"/>
            </w:pPr>
            <w:r>
              <w:rPr>
                <w:spacing w:val="-2"/>
              </w:rPr>
              <w:t xml:space="preserve">Who has access to the physical space, </w:t>
            </w:r>
            <w:proofErr w:type="gramStart"/>
            <w:r>
              <w:rPr>
                <w:spacing w:val="-2"/>
              </w:rPr>
              <w:t>who</w:t>
            </w:r>
            <w:proofErr w:type="gramEnd"/>
            <w:r>
              <w:rPr>
                <w:spacing w:val="-2"/>
              </w:rPr>
              <w:t xml:space="preserve"> needs access, and for what purpose? </w:t>
            </w:r>
            <w:r>
              <w:t xml:space="preserve"> </w:t>
            </w:r>
          </w:p>
        </w:tc>
      </w:tr>
      <w:tr w:rsidR="00A27DF0" w:rsidTr="001C6716">
        <w:trPr>
          <w:trHeight w:val="3900"/>
        </w:trPr>
        <w:tc>
          <w:tcPr>
            <w:tcW w:w="2275" w:type="dxa"/>
            <w:tcBorders>
              <w:top w:val="single" w:sz="16" w:space="0" w:color="FFFFFF"/>
              <w:left w:val="single" w:sz="6" w:space="0" w:color="FFFFFF"/>
              <w:bottom w:val="single" w:sz="16" w:space="0" w:color="FFFFFF"/>
              <w:right w:val="single" w:sz="6" w:space="0" w:color="FFFFFF"/>
            </w:tcBorders>
            <w:shd w:val="solid" w:color="0051F9" w:fill="auto"/>
            <w:tcMar>
              <w:top w:w="180" w:type="dxa"/>
              <w:left w:w="180" w:type="dxa"/>
              <w:bottom w:w="80" w:type="dxa"/>
              <w:right w:w="80" w:type="dxa"/>
            </w:tcMar>
            <w:vAlign w:val="center"/>
          </w:tcPr>
          <w:p w:rsidR="00A27DF0" w:rsidRDefault="00A27DF0" w:rsidP="00095D56">
            <w:pPr>
              <w:pStyle w:val="TableSub1TableStyles"/>
            </w:pPr>
            <w:r w:rsidRPr="00A27DF0">
              <w:rPr>
                <w:outline/>
                <w:sz w:val="21"/>
                <w:szCs w:val="21"/>
                <w14:textOutline w14:w="9525" w14:cap="flat" w14:cmpd="sng" w14:algn="ctr">
                  <w14:solidFill>
                    <w14:srgbClr w14:val="0051F9"/>
                  </w14:solidFill>
                  <w14:prstDash w14:val="solid"/>
                  <w14:round/>
                </w14:textOutline>
                <w14:textFill>
                  <w14:noFill/>
                </w14:textFill>
              </w:rPr>
              <w:lastRenderedPageBreak/>
              <w:t>Assess  electronic security, protections, and methods of data transfer and storage</w:t>
            </w:r>
          </w:p>
        </w:tc>
        <w:tc>
          <w:tcPr>
            <w:tcW w:w="7265" w:type="dxa"/>
            <w:tcBorders>
              <w:top w:val="single" w:sz="16" w:space="0" w:color="FFFFFF"/>
              <w:left w:val="single" w:sz="6" w:space="0" w:color="FFFFFF"/>
              <w:bottom w:val="single" w:sz="16" w:space="0" w:color="FFFFFF"/>
              <w:right w:val="single" w:sz="6" w:space="0" w:color="000000"/>
            </w:tcBorders>
            <w:shd w:val="solid" w:color="87D3EA" w:fill="auto"/>
            <w:tcMar>
              <w:top w:w="90" w:type="dxa"/>
              <w:left w:w="80" w:type="dxa"/>
              <w:bottom w:w="0" w:type="dxa"/>
              <w:right w:w="80" w:type="dxa"/>
            </w:tcMar>
            <w:vAlign w:val="center"/>
          </w:tcPr>
          <w:p w:rsidR="00A27DF0" w:rsidRDefault="00A27DF0" w:rsidP="00095D56">
            <w:pPr>
              <w:pStyle w:val="TableTextLTableStyles"/>
              <w:spacing w:after="47"/>
            </w:pPr>
            <w:r>
              <w:t xml:space="preserve">Who or what roles need access to identifiable data? At what </w:t>
            </w:r>
            <w:proofErr w:type="gramStart"/>
            <w:r>
              <w:t>stage  is</w:t>
            </w:r>
            <w:proofErr w:type="gramEnd"/>
            <w:r>
              <w:t xml:space="preserve"> their access required? </w:t>
            </w:r>
            <w:r>
              <w:br/>
              <w:t>Who needs access to electronic databases with identifiable data?</w:t>
            </w:r>
          </w:p>
          <w:p w:rsidR="00A27DF0" w:rsidRDefault="00A27DF0" w:rsidP="00095D56">
            <w:pPr>
              <w:pStyle w:val="TableTextLTableStyles"/>
              <w:spacing w:after="47"/>
            </w:pPr>
            <w:r>
              <w:t xml:space="preserve">Who needs access only to </w:t>
            </w:r>
            <w:proofErr w:type="gramStart"/>
            <w:r>
              <w:t>de-identified</w:t>
            </w:r>
            <w:proofErr w:type="gramEnd"/>
            <w:r>
              <w:t xml:space="preserve"> or analysis data sets?</w:t>
            </w:r>
          </w:p>
          <w:p w:rsidR="00A27DF0" w:rsidRDefault="00A27DF0" w:rsidP="00095D56">
            <w:pPr>
              <w:pStyle w:val="TableTextLTableStyles"/>
              <w:spacing w:after="47"/>
            </w:pPr>
            <w:r>
              <w:t xml:space="preserve">Who teleworks and what level of access do they need? Are electronic protections in place </w:t>
            </w:r>
            <w:r>
              <w:br/>
              <w:t>for remote access?</w:t>
            </w:r>
          </w:p>
          <w:p w:rsidR="00A27DF0" w:rsidRDefault="00A27DF0" w:rsidP="00095D56">
            <w:pPr>
              <w:pStyle w:val="TableTextLTableStyles"/>
              <w:spacing w:after="47"/>
            </w:pPr>
            <w:r>
              <w:t xml:space="preserve">Which individuals must take identifiable information in the field or outside of the secure physical area or health department? How is </w:t>
            </w:r>
            <w:proofErr w:type="gramStart"/>
            <w:r>
              <w:t>that  information</w:t>
            </w:r>
            <w:proofErr w:type="gramEnd"/>
            <w:r>
              <w:t xml:space="preserve"> brought back into the office and what happens when it arrives?  </w:t>
            </w:r>
          </w:p>
          <w:p w:rsidR="00A27DF0" w:rsidRDefault="00A27DF0" w:rsidP="00095D56">
            <w:pPr>
              <w:pStyle w:val="TableTextLTableStyles"/>
              <w:spacing w:after="47"/>
            </w:pPr>
            <w:r>
              <w:t xml:space="preserve">Does field work involve information on paper or electronic data on laptops or other </w:t>
            </w:r>
            <w:r>
              <w:br/>
              <w:t>storage devices?</w:t>
            </w:r>
          </w:p>
          <w:p w:rsidR="00A27DF0" w:rsidRDefault="00A27DF0" w:rsidP="00095D56">
            <w:pPr>
              <w:pStyle w:val="TableTextLTableStyles"/>
              <w:spacing w:after="47"/>
            </w:pPr>
            <w:r>
              <w:t xml:space="preserve">What electronic protections are in place during data transfer? Is encryption used? If so, when </w:t>
            </w:r>
            <w:r>
              <w:br/>
              <w:t>are data encrypted? Are data encrypted while at rest?</w:t>
            </w:r>
          </w:p>
          <w:p w:rsidR="00A27DF0" w:rsidRDefault="00A27DF0" w:rsidP="00095D56">
            <w:pPr>
              <w:pStyle w:val="TableTextLTableStyles"/>
            </w:pPr>
            <w:r>
              <w:t xml:space="preserve">Are data ever transported between locations across secured boundaries such as a secure </w:t>
            </w:r>
            <w:r>
              <w:br/>
              <w:t>data network (SDN), virtual private network, or Secure File Transfer Protocol (SFTP)?</w:t>
            </w:r>
          </w:p>
          <w:p w:rsidR="00A27DF0" w:rsidRDefault="00A27DF0" w:rsidP="00095D56">
            <w:pPr>
              <w:pStyle w:val="TableTextLTableStyles"/>
            </w:pPr>
          </w:p>
        </w:tc>
      </w:tr>
      <w:tr w:rsidR="00A27DF0" w:rsidTr="001C6716">
        <w:trPr>
          <w:trHeight w:val="1522"/>
        </w:trPr>
        <w:tc>
          <w:tcPr>
            <w:tcW w:w="2275" w:type="dxa"/>
            <w:tcBorders>
              <w:top w:val="single" w:sz="16" w:space="0" w:color="FFFFFF"/>
              <w:left w:val="single" w:sz="6" w:space="0" w:color="FFFFFF"/>
              <w:bottom w:val="single" w:sz="16" w:space="0" w:color="FFFFFF"/>
              <w:right w:val="single" w:sz="6" w:space="0" w:color="FFFFFF"/>
            </w:tcBorders>
            <w:shd w:val="solid" w:color="0051F9" w:fill="auto"/>
            <w:tcMar>
              <w:top w:w="90" w:type="dxa"/>
              <w:left w:w="180" w:type="dxa"/>
              <w:bottom w:w="80" w:type="dxa"/>
              <w:right w:w="80" w:type="dxa"/>
            </w:tcMar>
            <w:vAlign w:val="center"/>
          </w:tcPr>
          <w:p w:rsidR="00A27DF0" w:rsidRDefault="00A27DF0" w:rsidP="00095D56">
            <w:pPr>
              <w:pStyle w:val="TableSub1TableStyles"/>
            </w:pPr>
            <w:r w:rsidRPr="00A27DF0">
              <w:rPr>
                <w:outline/>
                <w:sz w:val="21"/>
                <w:szCs w:val="21"/>
                <w14:textOutline w14:w="9525" w14:cap="flat" w14:cmpd="sng" w14:algn="ctr">
                  <w14:solidFill>
                    <w14:srgbClr w14:val="0051F9"/>
                  </w14:solidFill>
                  <w14:prstDash w14:val="solid"/>
                  <w14:round/>
                </w14:textOutline>
                <w14:textFill>
                  <w14:noFill/>
                </w14:textFill>
              </w:rPr>
              <w:t xml:space="preserve">Assess training </w:t>
            </w:r>
            <w:r w:rsidRPr="00A27DF0">
              <w:rPr>
                <w:outline/>
                <w:sz w:val="21"/>
                <w:szCs w:val="21"/>
                <w14:textOutline w14:w="9525" w14:cap="flat" w14:cmpd="sng" w14:algn="ctr">
                  <w14:solidFill>
                    <w14:srgbClr w14:val="0051F9"/>
                  </w14:solidFill>
                  <w14:prstDash w14:val="solid"/>
                  <w14:round/>
                </w14:textOutline>
                <w14:textFill>
                  <w14:noFill/>
                </w14:textFill>
              </w:rPr>
              <w:br/>
              <w:t>needs</w:t>
            </w:r>
          </w:p>
        </w:tc>
        <w:tc>
          <w:tcPr>
            <w:tcW w:w="7265" w:type="dxa"/>
            <w:tcBorders>
              <w:top w:val="single" w:sz="16" w:space="0" w:color="FFFFFF"/>
              <w:left w:val="single" w:sz="6" w:space="0" w:color="FFFFFF"/>
              <w:bottom w:val="single" w:sz="16" w:space="0" w:color="FFFFFF"/>
              <w:right w:val="single" w:sz="6" w:space="0" w:color="000000"/>
            </w:tcBorders>
            <w:shd w:val="solid" w:color="00895B" w:fill="auto"/>
            <w:tcMar>
              <w:top w:w="119" w:type="dxa"/>
              <w:left w:w="80" w:type="dxa"/>
              <w:bottom w:w="0" w:type="dxa"/>
              <w:right w:w="80" w:type="dxa"/>
            </w:tcMar>
            <w:vAlign w:val="center"/>
          </w:tcPr>
          <w:p w:rsidR="00A27DF0" w:rsidRDefault="00A27DF0" w:rsidP="00095D56">
            <w:pPr>
              <w:pStyle w:val="TableTextLTableStyles"/>
              <w:spacing w:after="47"/>
            </w:pPr>
            <w:r>
              <w:t xml:space="preserve">Do all programs involved have specific security and confidentiality training? How often is it conducted and who does it? </w:t>
            </w:r>
          </w:p>
          <w:p w:rsidR="00A27DF0" w:rsidRDefault="00A27DF0" w:rsidP="00095D56">
            <w:pPr>
              <w:pStyle w:val="TableTextLTableStyles"/>
              <w:spacing w:after="47"/>
            </w:pPr>
            <w:r>
              <w:t>What additional training will be required if policies are modified?</w:t>
            </w:r>
          </w:p>
          <w:p w:rsidR="00A27DF0" w:rsidRDefault="00A27DF0" w:rsidP="00095D56">
            <w:pPr>
              <w:pStyle w:val="TableTextLTableStyles"/>
              <w:spacing w:after="47"/>
            </w:pPr>
            <w:r>
              <w:t xml:space="preserve">Do other types of employees need to be trained (e.g. mail room staff, maintenance and </w:t>
            </w:r>
            <w:r>
              <w:br/>
              <w:t>cleaning staff, security staff, IT staff [in-house and contracted services])?</w:t>
            </w:r>
          </w:p>
          <w:p w:rsidR="00A27DF0" w:rsidRDefault="00A27DF0" w:rsidP="00095D56">
            <w:pPr>
              <w:pStyle w:val="TableTextLTableStyles"/>
            </w:pPr>
            <w:r>
              <w:t>How often are training materials updated?</w:t>
            </w:r>
          </w:p>
          <w:p w:rsidR="00A27DF0" w:rsidRDefault="00A27DF0" w:rsidP="00095D56">
            <w:pPr>
              <w:pStyle w:val="TableTextLTableStyles"/>
            </w:pPr>
            <w:r>
              <w:t xml:space="preserve"> </w:t>
            </w:r>
          </w:p>
        </w:tc>
      </w:tr>
    </w:tbl>
    <w:p w:rsidR="00A27DF0" w:rsidRDefault="00A27DF0" w:rsidP="00A27DF0">
      <w:pPr>
        <w:pStyle w:val="BodyText"/>
      </w:pPr>
    </w:p>
    <w:p w:rsidR="00095D56" w:rsidRDefault="00095D56"/>
    <w:sectPr w:rsidR="00095D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716" w:rsidRDefault="001C6716" w:rsidP="001C6716">
      <w:pPr>
        <w:spacing w:after="0" w:line="240" w:lineRule="auto"/>
      </w:pPr>
      <w:r>
        <w:separator/>
      </w:r>
    </w:p>
  </w:endnote>
  <w:endnote w:type="continuationSeparator" w:id="0">
    <w:p w:rsidR="001C6716" w:rsidRDefault="001C6716" w:rsidP="001C6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yriad Pro Semibold SemiExtende">
    <w:panose1 w:val="00000000000000000000"/>
    <w:charset w:val="00"/>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159419"/>
      <w:docPartObj>
        <w:docPartGallery w:val="Page Numbers (Bottom of Page)"/>
        <w:docPartUnique/>
      </w:docPartObj>
    </w:sdtPr>
    <w:sdtEndPr>
      <w:rPr>
        <w:noProof/>
      </w:rPr>
    </w:sdtEndPr>
    <w:sdtContent>
      <w:p w:rsidR="001C6716" w:rsidRDefault="001C6716">
        <w:pPr>
          <w:pStyle w:val="Footer"/>
          <w:jc w:val="center"/>
        </w:pPr>
        <w:r>
          <w:fldChar w:fldCharType="begin"/>
        </w:r>
        <w:r>
          <w:instrText xml:space="preserve"> PAGE   \* MERGEFORMAT </w:instrText>
        </w:r>
        <w:r>
          <w:fldChar w:fldCharType="separate"/>
        </w:r>
        <w:r w:rsidR="00AD5F1B">
          <w:rPr>
            <w:noProof/>
          </w:rPr>
          <w:t>1</w:t>
        </w:r>
        <w:r>
          <w:rPr>
            <w:noProof/>
          </w:rPr>
          <w:fldChar w:fldCharType="end"/>
        </w:r>
      </w:p>
    </w:sdtContent>
  </w:sdt>
  <w:p w:rsidR="001C6716" w:rsidRDefault="001C6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716" w:rsidRDefault="001C6716" w:rsidP="001C6716">
      <w:pPr>
        <w:spacing w:after="0" w:line="240" w:lineRule="auto"/>
      </w:pPr>
      <w:r>
        <w:separator/>
      </w:r>
    </w:p>
  </w:footnote>
  <w:footnote w:type="continuationSeparator" w:id="0">
    <w:p w:rsidR="001C6716" w:rsidRDefault="001C6716" w:rsidP="001C6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22B"/>
    <w:multiLevelType w:val="hybridMultilevel"/>
    <w:tmpl w:val="BF688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DF0"/>
    <w:rsid w:val="000067A1"/>
    <w:rsid w:val="000103FF"/>
    <w:rsid w:val="000133EF"/>
    <w:rsid w:val="00022FF1"/>
    <w:rsid w:val="000301C1"/>
    <w:rsid w:val="00032B03"/>
    <w:rsid w:val="000364E6"/>
    <w:rsid w:val="00043360"/>
    <w:rsid w:val="00047BE5"/>
    <w:rsid w:val="00051A0C"/>
    <w:rsid w:val="00062FBC"/>
    <w:rsid w:val="00071570"/>
    <w:rsid w:val="00071A22"/>
    <w:rsid w:val="00083E11"/>
    <w:rsid w:val="00095D56"/>
    <w:rsid w:val="00097B78"/>
    <w:rsid w:val="000C07F5"/>
    <w:rsid w:val="000C262F"/>
    <w:rsid w:val="000C7B5B"/>
    <w:rsid w:val="000D0FB9"/>
    <w:rsid w:val="00106D7E"/>
    <w:rsid w:val="00120430"/>
    <w:rsid w:val="0012170E"/>
    <w:rsid w:val="00122D88"/>
    <w:rsid w:val="0014103C"/>
    <w:rsid w:val="00142B19"/>
    <w:rsid w:val="00142B88"/>
    <w:rsid w:val="00195A0A"/>
    <w:rsid w:val="001A6D55"/>
    <w:rsid w:val="001B3153"/>
    <w:rsid w:val="001C0381"/>
    <w:rsid w:val="001C6716"/>
    <w:rsid w:val="001C6F1B"/>
    <w:rsid w:val="001D42F6"/>
    <w:rsid w:val="001E2226"/>
    <w:rsid w:val="001E3974"/>
    <w:rsid w:val="001F42FA"/>
    <w:rsid w:val="001F74D7"/>
    <w:rsid w:val="00273ACD"/>
    <w:rsid w:val="00287D20"/>
    <w:rsid w:val="002C3D7B"/>
    <w:rsid w:val="002C757E"/>
    <w:rsid w:val="002D2E65"/>
    <w:rsid w:val="002F42BF"/>
    <w:rsid w:val="003045E6"/>
    <w:rsid w:val="003048CE"/>
    <w:rsid w:val="00315215"/>
    <w:rsid w:val="00320726"/>
    <w:rsid w:val="00334CA5"/>
    <w:rsid w:val="00334ED5"/>
    <w:rsid w:val="00340592"/>
    <w:rsid w:val="00344FA1"/>
    <w:rsid w:val="00350661"/>
    <w:rsid w:val="003506C9"/>
    <w:rsid w:val="00351C7A"/>
    <w:rsid w:val="00363CF7"/>
    <w:rsid w:val="00366CE3"/>
    <w:rsid w:val="00372360"/>
    <w:rsid w:val="00382C28"/>
    <w:rsid w:val="003947A7"/>
    <w:rsid w:val="003B2E2A"/>
    <w:rsid w:val="003C1193"/>
    <w:rsid w:val="003C6C13"/>
    <w:rsid w:val="003D6AEE"/>
    <w:rsid w:val="0041358F"/>
    <w:rsid w:val="00433E38"/>
    <w:rsid w:val="00444BBA"/>
    <w:rsid w:val="0047403A"/>
    <w:rsid w:val="00495459"/>
    <w:rsid w:val="004A5036"/>
    <w:rsid w:val="004B091D"/>
    <w:rsid w:val="004B44E9"/>
    <w:rsid w:val="004C6B86"/>
    <w:rsid w:val="004E4D72"/>
    <w:rsid w:val="005000A1"/>
    <w:rsid w:val="00500A1E"/>
    <w:rsid w:val="00525740"/>
    <w:rsid w:val="00547178"/>
    <w:rsid w:val="00560545"/>
    <w:rsid w:val="00560E61"/>
    <w:rsid w:val="0057647F"/>
    <w:rsid w:val="00591B75"/>
    <w:rsid w:val="00595A81"/>
    <w:rsid w:val="005B30AA"/>
    <w:rsid w:val="005D3876"/>
    <w:rsid w:val="005D4209"/>
    <w:rsid w:val="005D433B"/>
    <w:rsid w:val="005F5573"/>
    <w:rsid w:val="00611F82"/>
    <w:rsid w:val="00612D13"/>
    <w:rsid w:val="00621522"/>
    <w:rsid w:val="00623CD2"/>
    <w:rsid w:val="0062718D"/>
    <w:rsid w:val="00662509"/>
    <w:rsid w:val="0066491C"/>
    <w:rsid w:val="00674E93"/>
    <w:rsid w:val="00676788"/>
    <w:rsid w:val="0068016E"/>
    <w:rsid w:val="006829B9"/>
    <w:rsid w:val="00683D2F"/>
    <w:rsid w:val="006865D4"/>
    <w:rsid w:val="006A3C55"/>
    <w:rsid w:val="006B1843"/>
    <w:rsid w:val="006B491D"/>
    <w:rsid w:val="006B4F51"/>
    <w:rsid w:val="006B6FE9"/>
    <w:rsid w:val="006C6A05"/>
    <w:rsid w:val="006D3788"/>
    <w:rsid w:val="006F2FC0"/>
    <w:rsid w:val="006F6C81"/>
    <w:rsid w:val="0070101F"/>
    <w:rsid w:val="007018EE"/>
    <w:rsid w:val="00703A7C"/>
    <w:rsid w:val="0071024F"/>
    <w:rsid w:val="0072040A"/>
    <w:rsid w:val="00725250"/>
    <w:rsid w:val="00737F20"/>
    <w:rsid w:val="00740C74"/>
    <w:rsid w:val="00743FBB"/>
    <w:rsid w:val="00746C48"/>
    <w:rsid w:val="00763B52"/>
    <w:rsid w:val="0076459D"/>
    <w:rsid w:val="00770A37"/>
    <w:rsid w:val="0079056F"/>
    <w:rsid w:val="00793BDC"/>
    <w:rsid w:val="00794F2D"/>
    <w:rsid w:val="007A43D9"/>
    <w:rsid w:val="007C65A7"/>
    <w:rsid w:val="007C70FA"/>
    <w:rsid w:val="007E363F"/>
    <w:rsid w:val="007F366F"/>
    <w:rsid w:val="00806CD7"/>
    <w:rsid w:val="00831970"/>
    <w:rsid w:val="008424AE"/>
    <w:rsid w:val="00853643"/>
    <w:rsid w:val="00855D58"/>
    <w:rsid w:val="00857B36"/>
    <w:rsid w:val="00864535"/>
    <w:rsid w:val="008864F1"/>
    <w:rsid w:val="008873D3"/>
    <w:rsid w:val="008B47C0"/>
    <w:rsid w:val="008B6028"/>
    <w:rsid w:val="008D14FB"/>
    <w:rsid w:val="008D19AD"/>
    <w:rsid w:val="008E11C8"/>
    <w:rsid w:val="00902D8B"/>
    <w:rsid w:val="00920530"/>
    <w:rsid w:val="00921F3A"/>
    <w:rsid w:val="00927621"/>
    <w:rsid w:val="00927FD0"/>
    <w:rsid w:val="009341D5"/>
    <w:rsid w:val="009A1144"/>
    <w:rsid w:val="009A333B"/>
    <w:rsid w:val="009A6576"/>
    <w:rsid w:val="009C173D"/>
    <w:rsid w:val="009D40E2"/>
    <w:rsid w:val="00A23B0F"/>
    <w:rsid w:val="00A27DF0"/>
    <w:rsid w:val="00A40E6E"/>
    <w:rsid w:val="00A61398"/>
    <w:rsid w:val="00A75D58"/>
    <w:rsid w:val="00AB1F13"/>
    <w:rsid w:val="00AD0D2B"/>
    <w:rsid w:val="00AD5F1B"/>
    <w:rsid w:val="00AE4A46"/>
    <w:rsid w:val="00B06D40"/>
    <w:rsid w:val="00B13477"/>
    <w:rsid w:val="00B16E47"/>
    <w:rsid w:val="00B2157A"/>
    <w:rsid w:val="00B25F3F"/>
    <w:rsid w:val="00B31A3D"/>
    <w:rsid w:val="00B34E03"/>
    <w:rsid w:val="00B55AAF"/>
    <w:rsid w:val="00B925AC"/>
    <w:rsid w:val="00BB0CB3"/>
    <w:rsid w:val="00BC1FBF"/>
    <w:rsid w:val="00BC32A3"/>
    <w:rsid w:val="00BC554F"/>
    <w:rsid w:val="00BE223F"/>
    <w:rsid w:val="00BF2E90"/>
    <w:rsid w:val="00C21951"/>
    <w:rsid w:val="00C257E4"/>
    <w:rsid w:val="00C355FC"/>
    <w:rsid w:val="00C42EBF"/>
    <w:rsid w:val="00C55012"/>
    <w:rsid w:val="00C71539"/>
    <w:rsid w:val="00C86955"/>
    <w:rsid w:val="00C91B65"/>
    <w:rsid w:val="00CB5AF3"/>
    <w:rsid w:val="00CC7FFE"/>
    <w:rsid w:val="00CD420C"/>
    <w:rsid w:val="00CE36CC"/>
    <w:rsid w:val="00CE3F01"/>
    <w:rsid w:val="00D5732A"/>
    <w:rsid w:val="00D65EFC"/>
    <w:rsid w:val="00D75794"/>
    <w:rsid w:val="00DD302B"/>
    <w:rsid w:val="00DE10BC"/>
    <w:rsid w:val="00DF00E8"/>
    <w:rsid w:val="00E01AF3"/>
    <w:rsid w:val="00E02A5E"/>
    <w:rsid w:val="00E16027"/>
    <w:rsid w:val="00E35861"/>
    <w:rsid w:val="00E41EC7"/>
    <w:rsid w:val="00E46D0C"/>
    <w:rsid w:val="00E61562"/>
    <w:rsid w:val="00E62440"/>
    <w:rsid w:val="00E631C4"/>
    <w:rsid w:val="00E6479F"/>
    <w:rsid w:val="00E67B3C"/>
    <w:rsid w:val="00EC2694"/>
    <w:rsid w:val="00EE3451"/>
    <w:rsid w:val="00EE444D"/>
    <w:rsid w:val="00EE7EB0"/>
    <w:rsid w:val="00F058ED"/>
    <w:rsid w:val="00F06E3F"/>
    <w:rsid w:val="00F075DE"/>
    <w:rsid w:val="00F36976"/>
    <w:rsid w:val="00F564C8"/>
    <w:rsid w:val="00F86A60"/>
    <w:rsid w:val="00FA7E23"/>
    <w:rsid w:val="00FB0BA5"/>
    <w:rsid w:val="00FD42B2"/>
    <w:rsid w:val="00FE0E2D"/>
    <w:rsid w:val="00FE2D08"/>
    <w:rsid w:val="00FE6FBC"/>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kern w:val="24"/>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F0"/>
    <w:rPr>
      <w:rFonts w:asciiTheme="minorHAnsi" w:hAnsiTheme="minorHAnsi" w:cstheme="minorBidi"/>
      <w:color w:val="auto"/>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27DF0"/>
    <w:pPr>
      <w:suppressAutoHyphens/>
      <w:autoSpaceDE w:val="0"/>
      <w:autoSpaceDN w:val="0"/>
      <w:adjustRightInd w:val="0"/>
      <w:spacing w:after="180" w:line="280" w:lineRule="atLeast"/>
      <w:textAlignment w:val="center"/>
    </w:pPr>
    <w:rPr>
      <w:rFonts w:ascii="Myriad Pro Light" w:hAnsi="Myriad Pro Light" w:cs="Myriad Pro Light"/>
      <w:color w:val="000000"/>
      <w:spacing w:val="-2"/>
    </w:rPr>
  </w:style>
  <w:style w:type="character" w:customStyle="1" w:styleId="BodyTextChar">
    <w:name w:val="Body Text Char"/>
    <w:basedOn w:val="DefaultParagraphFont"/>
    <w:link w:val="BodyText"/>
    <w:uiPriority w:val="99"/>
    <w:rsid w:val="00A27DF0"/>
    <w:rPr>
      <w:rFonts w:ascii="Myriad Pro Light" w:hAnsi="Myriad Pro Light" w:cs="Myriad Pro Light"/>
      <w:color w:val="000000"/>
      <w:spacing w:val="-2"/>
      <w:kern w:val="0"/>
      <w:sz w:val="22"/>
    </w:rPr>
  </w:style>
  <w:style w:type="paragraph" w:customStyle="1" w:styleId="Bullets1BulletsLists">
    <w:name w:val="Bullets 1 (Bullets &amp; Lists)"/>
    <w:basedOn w:val="BodyText"/>
    <w:uiPriority w:val="99"/>
    <w:rsid w:val="00A27DF0"/>
    <w:pPr>
      <w:spacing w:after="138" w:line="270" w:lineRule="atLeast"/>
      <w:ind w:left="540" w:hanging="216"/>
    </w:pPr>
  </w:style>
  <w:style w:type="paragraph" w:customStyle="1" w:styleId="H3a0HeadingsHeaderStyles">
    <w:name w:val="H3a .0Headings (Header Styles)"/>
    <w:basedOn w:val="Normal"/>
    <w:uiPriority w:val="99"/>
    <w:rsid w:val="00A27DF0"/>
    <w:pPr>
      <w:suppressAutoHyphens/>
      <w:autoSpaceDE w:val="0"/>
      <w:autoSpaceDN w:val="0"/>
      <w:adjustRightInd w:val="0"/>
      <w:spacing w:before="630" w:after="0" w:line="280" w:lineRule="atLeast"/>
      <w:textAlignment w:val="center"/>
    </w:pPr>
    <w:rPr>
      <w:rFonts w:ascii="Myriad Pro Semibold SemiExtende" w:hAnsi="Myriad Pro Semibold SemiExtende" w:cs="Myriad Pro Semibold SemiExtende"/>
      <w:b/>
      <w:bCs/>
      <w:color w:val="00895B"/>
      <w:spacing w:val="-3"/>
      <w:sz w:val="29"/>
      <w:szCs w:val="29"/>
    </w:rPr>
  </w:style>
  <w:style w:type="paragraph" w:customStyle="1" w:styleId="TableTextLTableStyles">
    <w:name w:val="Table Text L (Table Styles)"/>
    <w:basedOn w:val="Normal"/>
    <w:uiPriority w:val="99"/>
    <w:rsid w:val="00A27DF0"/>
    <w:pPr>
      <w:tabs>
        <w:tab w:val="right" w:leader="underscore" w:pos="3000"/>
      </w:tabs>
      <w:suppressAutoHyphens/>
      <w:autoSpaceDE w:val="0"/>
      <w:autoSpaceDN w:val="0"/>
      <w:adjustRightInd w:val="0"/>
      <w:spacing w:after="0" w:line="240" w:lineRule="atLeast"/>
      <w:textAlignment w:val="center"/>
    </w:pPr>
    <w:rPr>
      <w:rFonts w:ascii="Myriad Pro" w:hAnsi="Myriad Pro" w:cs="Myriad Pro"/>
      <w:color w:val="000000"/>
      <w:sz w:val="20"/>
      <w:szCs w:val="20"/>
    </w:rPr>
  </w:style>
  <w:style w:type="paragraph" w:customStyle="1" w:styleId="TableHeaderL2TableStyles">
    <w:name w:val="Table Header L 2 (Table Styles)"/>
    <w:basedOn w:val="Normal"/>
    <w:uiPriority w:val="99"/>
    <w:rsid w:val="00A27DF0"/>
    <w:pPr>
      <w:suppressAutoHyphens/>
      <w:autoSpaceDE w:val="0"/>
      <w:autoSpaceDN w:val="0"/>
      <w:adjustRightInd w:val="0"/>
      <w:spacing w:after="0" w:line="280" w:lineRule="atLeast"/>
      <w:textAlignment w:val="center"/>
    </w:pPr>
    <w:rPr>
      <w:rFonts w:ascii="Myriad Pro" w:hAnsi="Myriad Pro" w:cs="Myriad Pro"/>
      <w:b/>
      <w:bCs/>
      <w:caps/>
      <w:color w:val="0051F9"/>
      <w:spacing w:val="-2"/>
      <w:sz w:val="24"/>
      <w:szCs w:val="24"/>
    </w:rPr>
  </w:style>
  <w:style w:type="paragraph" w:customStyle="1" w:styleId="TableSub1TableStyles">
    <w:name w:val="Table Sub 1 (Table Styles)"/>
    <w:basedOn w:val="Normal"/>
    <w:uiPriority w:val="99"/>
    <w:rsid w:val="00A27DF0"/>
    <w:pPr>
      <w:suppressAutoHyphens/>
      <w:autoSpaceDE w:val="0"/>
      <w:autoSpaceDN w:val="0"/>
      <w:adjustRightInd w:val="0"/>
      <w:spacing w:after="0" w:line="220" w:lineRule="atLeast"/>
      <w:textAlignment w:val="center"/>
    </w:pPr>
    <w:rPr>
      <w:rFonts w:ascii="Myriad Pro" w:hAnsi="Myriad Pro" w:cs="Myriad Pro"/>
      <w:b/>
      <w:bCs/>
      <w:color w:val="0051F9"/>
      <w:sz w:val="20"/>
      <w:szCs w:val="20"/>
    </w:rPr>
  </w:style>
  <w:style w:type="paragraph" w:styleId="Header">
    <w:name w:val="header"/>
    <w:basedOn w:val="Normal"/>
    <w:link w:val="HeaderChar"/>
    <w:uiPriority w:val="99"/>
    <w:unhideWhenUsed/>
    <w:rsid w:val="001C6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716"/>
    <w:rPr>
      <w:rFonts w:asciiTheme="minorHAnsi" w:hAnsiTheme="minorHAnsi" w:cstheme="minorBidi"/>
      <w:color w:val="auto"/>
      <w:kern w:val="0"/>
      <w:sz w:val="22"/>
    </w:rPr>
  </w:style>
  <w:style w:type="paragraph" w:styleId="Footer">
    <w:name w:val="footer"/>
    <w:basedOn w:val="Normal"/>
    <w:link w:val="FooterChar"/>
    <w:uiPriority w:val="99"/>
    <w:unhideWhenUsed/>
    <w:rsid w:val="001C6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716"/>
    <w:rPr>
      <w:rFonts w:asciiTheme="minorHAnsi" w:hAnsiTheme="minorHAnsi" w:cstheme="minorBidi"/>
      <w:color w:val="auto"/>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kern w:val="24"/>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F0"/>
    <w:rPr>
      <w:rFonts w:asciiTheme="minorHAnsi" w:hAnsiTheme="minorHAnsi" w:cstheme="minorBidi"/>
      <w:color w:val="auto"/>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27DF0"/>
    <w:pPr>
      <w:suppressAutoHyphens/>
      <w:autoSpaceDE w:val="0"/>
      <w:autoSpaceDN w:val="0"/>
      <w:adjustRightInd w:val="0"/>
      <w:spacing w:after="180" w:line="280" w:lineRule="atLeast"/>
      <w:textAlignment w:val="center"/>
    </w:pPr>
    <w:rPr>
      <w:rFonts w:ascii="Myriad Pro Light" w:hAnsi="Myriad Pro Light" w:cs="Myriad Pro Light"/>
      <w:color w:val="000000"/>
      <w:spacing w:val="-2"/>
    </w:rPr>
  </w:style>
  <w:style w:type="character" w:customStyle="1" w:styleId="BodyTextChar">
    <w:name w:val="Body Text Char"/>
    <w:basedOn w:val="DefaultParagraphFont"/>
    <w:link w:val="BodyText"/>
    <w:uiPriority w:val="99"/>
    <w:rsid w:val="00A27DF0"/>
    <w:rPr>
      <w:rFonts w:ascii="Myriad Pro Light" w:hAnsi="Myriad Pro Light" w:cs="Myriad Pro Light"/>
      <w:color w:val="000000"/>
      <w:spacing w:val="-2"/>
      <w:kern w:val="0"/>
      <w:sz w:val="22"/>
    </w:rPr>
  </w:style>
  <w:style w:type="paragraph" w:customStyle="1" w:styleId="Bullets1BulletsLists">
    <w:name w:val="Bullets 1 (Bullets &amp; Lists)"/>
    <w:basedOn w:val="BodyText"/>
    <w:uiPriority w:val="99"/>
    <w:rsid w:val="00A27DF0"/>
    <w:pPr>
      <w:spacing w:after="138" w:line="270" w:lineRule="atLeast"/>
      <w:ind w:left="540" w:hanging="216"/>
    </w:pPr>
  </w:style>
  <w:style w:type="paragraph" w:customStyle="1" w:styleId="H3a0HeadingsHeaderStyles">
    <w:name w:val="H3a .0Headings (Header Styles)"/>
    <w:basedOn w:val="Normal"/>
    <w:uiPriority w:val="99"/>
    <w:rsid w:val="00A27DF0"/>
    <w:pPr>
      <w:suppressAutoHyphens/>
      <w:autoSpaceDE w:val="0"/>
      <w:autoSpaceDN w:val="0"/>
      <w:adjustRightInd w:val="0"/>
      <w:spacing w:before="630" w:after="0" w:line="280" w:lineRule="atLeast"/>
      <w:textAlignment w:val="center"/>
    </w:pPr>
    <w:rPr>
      <w:rFonts w:ascii="Myriad Pro Semibold SemiExtende" w:hAnsi="Myriad Pro Semibold SemiExtende" w:cs="Myriad Pro Semibold SemiExtende"/>
      <w:b/>
      <w:bCs/>
      <w:color w:val="00895B"/>
      <w:spacing w:val="-3"/>
      <w:sz w:val="29"/>
      <w:szCs w:val="29"/>
    </w:rPr>
  </w:style>
  <w:style w:type="paragraph" w:customStyle="1" w:styleId="TableTextLTableStyles">
    <w:name w:val="Table Text L (Table Styles)"/>
    <w:basedOn w:val="Normal"/>
    <w:uiPriority w:val="99"/>
    <w:rsid w:val="00A27DF0"/>
    <w:pPr>
      <w:tabs>
        <w:tab w:val="right" w:leader="underscore" w:pos="3000"/>
      </w:tabs>
      <w:suppressAutoHyphens/>
      <w:autoSpaceDE w:val="0"/>
      <w:autoSpaceDN w:val="0"/>
      <w:adjustRightInd w:val="0"/>
      <w:spacing w:after="0" w:line="240" w:lineRule="atLeast"/>
      <w:textAlignment w:val="center"/>
    </w:pPr>
    <w:rPr>
      <w:rFonts w:ascii="Myriad Pro" w:hAnsi="Myriad Pro" w:cs="Myriad Pro"/>
      <w:color w:val="000000"/>
      <w:sz w:val="20"/>
      <w:szCs w:val="20"/>
    </w:rPr>
  </w:style>
  <w:style w:type="paragraph" w:customStyle="1" w:styleId="TableHeaderL2TableStyles">
    <w:name w:val="Table Header L 2 (Table Styles)"/>
    <w:basedOn w:val="Normal"/>
    <w:uiPriority w:val="99"/>
    <w:rsid w:val="00A27DF0"/>
    <w:pPr>
      <w:suppressAutoHyphens/>
      <w:autoSpaceDE w:val="0"/>
      <w:autoSpaceDN w:val="0"/>
      <w:adjustRightInd w:val="0"/>
      <w:spacing w:after="0" w:line="280" w:lineRule="atLeast"/>
      <w:textAlignment w:val="center"/>
    </w:pPr>
    <w:rPr>
      <w:rFonts w:ascii="Myriad Pro" w:hAnsi="Myriad Pro" w:cs="Myriad Pro"/>
      <w:b/>
      <w:bCs/>
      <w:caps/>
      <w:color w:val="0051F9"/>
      <w:spacing w:val="-2"/>
      <w:sz w:val="24"/>
      <w:szCs w:val="24"/>
    </w:rPr>
  </w:style>
  <w:style w:type="paragraph" w:customStyle="1" w:styleId="TableSub1TableStyles">
    <w:name w:val="Table Sub 1 (Table Styles)"/>
    <w:basedOn w:val="Normal"/>
    <w:uiPriority w:val="99"/>
    <w:rsid w:val="00A27DF0"/>
    <w:pPr>
      <w:suppressAutoHyphens/>
      <w:autoSpaceDE w:val="0"/>
      <w:autoSpaceDN w:val="0"/>
      <w:adjustRightInd w:val="0"/>
      <w:spacing w:after="0" w:line="220" w:lineRule="atLeast"/>
      <w:textAlignment w:val="center"/>
    </w:pPr>
    <w:rPr>
      <w:rFonts w:ascii="Myriad Pro" w:hAnsi="Myriad Pro" w:cs="Myriad Pro"/>
      <w:b/>
      <w:bCs/>
      <w:color w:val="0051F9"/>
      <w:sz w:val="20"/>
      <w:szCs w:val="20"/>
    </w:rPr>
  </w:style>
  <w:style w:type="paragraph" w:styleId="Header">
    <w:name w:val="header"/>
    <w:basedOn w:val="Normal"/>
    <w:link w:val="HeaderChar"/>
    <w:uiPriority w:val="99"/>
    <w:unhideWhenUsed/>
    <w:rsid w:val="001C6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716"/>
    <w:rPr>
      <w:rFonts w:asciiTheme="minorHAnsi" w:hAnsiTheme="minorHAnsi" w:cstheme="minorBidi"/>
      <w:color w:val="auto"/>
      <w:kern w:val="0"/>
      <w:sz w:val="22"/>
    </w:rPr>
  </w:style>
  <w:style w:type="paragraph" w:styleId="Footer">
    <w:name w:val="footer"/>
    <w:basedOn w:val="Normal"/>
    <w:link w:val="FooterChar"/>
    <w:uiPriority w:val="99"/>
    <w:unhideWhenUsed/>
    <w:rsid w:val="001C6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716"/>
    <w:rPr>
      <w:rFonts w:asciiTheme="minorHAnsi" w:hAnsiTheme="minorHAnsi" w:cstheme="minorBidi"/>
      <w:color w:val="auto"/>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Tryon, Cheryl (CDC/OID/NCHHSTP)</dc:creator>
  <cp:keywords/>
  <dc:description/>
  <cp:lastModifiedBy>Tryon, Cheryl (CDC/OID/NCHHSTP)</cp:lastModifiedBy>
  <cp:revision>4</cp:revision>
  <dcterms:created xsi:type="dcterms:W3CDTF">2012-04-16T17:05:00Z</dcterms:created>
  <dcterms:modified xsi:type="dcterms:W3CDTF">2012-04-16T17:37:00Z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2019-04-26T01:58:23.7809561Z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